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1625" w14:textId="3324F0C6" w:rsidR="00857016" w:rsidRDefault="00F413FB">
      <w:r>
        <w:rPr>
          <w:noProof/>
        </w:rPr>
        <w:drawing>
          <wp:inline distT="0" distB="0" distL="0" distR="0" wp14:anchorId="2B35A1FD" wp14:editId="4AE7FAEB">
            <wp:extent cx="5760720" cy="1073150"/>
            <wp:effectExtent l="0" t="0" r="0" b="0"/>
            <wp:docPr id="77652585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525859" name="Kép 7765258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B4B8" w14:textId="77777777" w:rsidR="00F413FB" w:rsidRDefault="00F413FB"/>
    <w:p w14:paraId="3702E916" w14:textId="7B7A7CED" w:rsidR="00F413FB" w:rsidRPr="00DE429D" w:rsidRDefault="00F413FB" w:rsidP="00F413FB">
      <w:pPr>
        <w:jc w:val="center"/>
        <w:rPr>
          <w:rFonts w:ascii="Constantia" w:hAnsi="Constantia"/>
          <w:b/>
        </w:rPr>
      </w:pPr>
      <w:r w:rsidRPr="00DE429D">
        <w:rPr>
          <w:rFonts w:ascii="Constantia" w:hAnsi="Constantia"/>
          <w:b/>
        </w:rPr>
        <w:t>Előterjesztés a Katona téri parkolóház helyzetéről</w:t>
      </w:r>
    </w:p>
    <w:p w14:paraId="70B0F683" w14:textId="7EA5B213" w:rsidR="00F413FB" w:rsidRDefault="00F413FB" w:rsidP="00F413FB">
      <w:pPr>
        <w:rPr>
          <w:rFonts w:ascii="Constantia" w:hAnsi="Constantia"/>
          <w:b/>
          <w:u w:val="single"/>
        </w:rPr>
      </w:pPr>
    </w:p>
    <w:p w14:paraId="5CF0101A" w14:textId="77777777" w:rsidR="00F413FB" w:rsidRDefault="00F413FB" w:rsidP="00F413FB">
      <w:pPr>
        <w:rPr>
          <w:rFonts w:ascii="Constantia" w:hAnsi="Constantia"/>
          <w:b/>
          <w:u w:val="single"/>
        </w:rPr>
      </w:pPr>
    </w:p>
    <w:p w14:paraId="143AAE02" w14:textId="64DCF70C" w:rsidR="00F413FB" w:rsidRPr="00DE429D" w:rsidRDefault="00F413FB" w:rsidP="00DE429D">
      <w:pPr>
        <w:jc w:val="both"/>
        <w:rPr>
          <w:rFonts w:ascii="Constantia" w:hAnsi="Constantia"/>
          <w:bCs/>
        </w:rPr>
      </w:pPr>
      <w:r w:rsidRPr="00DE429D">
        <w:rPr>
          <w:rFonts w:ascii="Constantia" w:hAnsi="Constantia"/>
          <w:bCs/>
        </w:rPr>
        <w:t>Eger Megyei Jogú Város Közgyűlése 2023. június 22-i ülésén elfogadott határozata a Városgazdálkodási Bizottságot kérte fel vizsgálat lefolytatására, több tárgykörben:</w:t>
      </w:r>
    </w:p>
    <w:p w14:paraId="3BCF1193" w14:textId="77777777" w:rsidR="00F413FB" w:rsidRDefault="00F413FB" w:rsidP="00F413FB">
      <w:pPr>
        <w:rPr>
          <w:rFonts w:ascii="Constantia" w:hAnsi="Constantia"/>
          <w:b/>
          <w:u w:val="single"/>
        </w:rPr>
      </w:pPr>
    </w:p>
    <w:p w14:paraId="3767203B" w14:textId="6184AC10" w:rsidR="00F413FB" w:rsidRPr="00DE429D" w:rsidRDefault="00F413FB" w:rsidP="00F413FB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="Constantia" w:hAnsi="Constantia" w:cs="Calibri"/>
          <w:color w:val="000000" w:themeColor="text1"/>
        </w:rPr>
      </w:pPr>
      <w:r w:rsidRPr="00DE429D">
        <w:rPr>
          <w:rFonts w:ascii="Constantia" w:hAnsi="Constantia" w:cs="Calibri"/>
          <w:color w:val="000000" w:themeColor="text1"/>
        </w:rPr>
        <w:t xml:space="preserve">a </w:t>
      </w:r>
      <w:r w:rsidRPr="00DE429D">
        <w:rPr>
          <w:rFonts w:ascii="Constantia" w:hAnsi="Constantia" w:cs="Calibri"/>
          <w:color w:val="000000" w:themeColor="text1"/>
        </w:rPr>
        <w:t>parkolóház reális forgalmi értékének vizsgálata</w:t>
      </w:r>
      <w:r w:rsidRPr="00DE429D">
        <w:rPr>
          <w:rFonts w:ascii="Constantia" w:hAnsi="Constantia" w:cs="Calibri"/>
          <w:color w:val="000000" w:themeColor="text1"/>
        </w:rPr>
        <w:t>;</w:t>
      </w:r>
    </w:p>
    <w:p w14:paraId="0A4C4B48" w14:textId="1E039DEB" w:rsidR="00F413FB" w:rsidRDefault="00F413FB" w:rsidP="00F413FB">
      <w:pPr>
        <w:numPr>
          <w:ilvl w:val="0"/>
          <w:numId w:val="6"/>
        </w:numPr>
        <w:spacing w:after="160" w:line="252" w:lineRule="auto"/>
        <w:contextualSpacing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>a</w:t>
      </w:r>
      <w:r>
        <w:rPr>
          <w:rFonts w:ascii="Constantia" w:hAnsi="Constantia" w:cs="Calibri"/>
        </w:rPr>
        <w:t xml:space="preserve"> kisajátítási eljárás lehetősége és kockázatai, kisajátítási kártalanítás várható összege</w:t>
      </w:r>
      <w:r>
        <w:rPr>
          <w:rFonts w:ascii="Constantia" w:hAnsi="Constantia" w:cs="Calibri"/>
        </w:rPr>
        <w:t>;</w:t>
      </w:r>
    </w:p>
    <w:p w14:paraId="2BF0C673" w14:textId="7C1B4EEF" w:rsidR="00F413FB" w:rsidRDefault="00F413FB" w:rsidP="00F413FB">
      <w:pPr>
        <w:numPr>
          <w:ilvl w:val="0"/>
          <w:numId w:val="6"/>
        </w:numPr>
        <w:spacing w:after="160" w:line="252" w:lineRule="auto"/>
        <w:contextualSpacing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>A tulajdonossal történő eltérő szerződéstervezet (bérlet, vételi jog, adásvétel), alternatív megállapodási lehetőségek vizsgálata és egyeztetése</w:t>
      </w:r>
      <w:r>
        <w:rPr>
          <w:rFonts w:ascii="Constantia" w:hAnsi="Constantia" w:cs="Calibri"/>
        </w:rPr>
        <w:t>;</w:t>
      </w:r>
    </w:p>
    <w:p w14:paraId="4EF9F395" w14:textId="48B1A5DB" w:rsidR="00F413FB" w:rsidRDefault="00F413FB" w:rsidP="00F413FB">
      <w:pPr>
        <w:numPr>
          <w:ilvl w:val="0"/>
          <w:numId w:val="6"/>
        </w:numPr>
        <w:spacing w:after="160" w:line="252" w:lineRule="auto"/>
        <w:contextualSpacing/>
        <w:jc w:val="both"/>
        <w:rPr>
          <w:rFonts w:ascii="Constantia" w:hAnsi="Constantia" w:cs="Calibri"/>
        </w:rPr>
      </w:pPr>
      <w:r>
        <w:rPr>
          <w:rFonts w:ascii="Constantia" w:hAnsi="Constantia" w:cs="Calibri"/>
        </w:rPr>
        <w:t xml:space="preserve">a korábban </w:t>
      </w:r>
      <w:r>
        <w:rPr>
          <w:rFonts w:ascii="Constantia" w:hAnsi="Constantia" w:cs="Calibri"/>
        </w:rPr>
        <w:t>befektetőként a parkolóház megvételére</w:t>
      </w:r>
      <w:r>
        <w:rPr>
          <w:rFonts w:ascii="Constantia" w:hAnsi="Constantia" w:cs="Calibri"/>
        </w:rPr>
        <w:t xml:space="preserve"> kije</w:t>
      </w:r>
      <w:r w:rsidR="00DE429D">
        <w:rPr>
          <w:rFonts w:ascii="Constantia" w:hAnsi="Constantia" w:cs="Calibri"/>
        </w:rPr>
        <w:t>löléssel kapcsolatos információk</w:t>
      </w:r>
      <w:r>
        <w:rPr>
          <w:rFonts w:ascii="Constantia" w:hAnsi="Constantia" w:cs="Calibri"/>
        </w:rPr>
        <w:t>.</w:t>
      </w:r>
    </w:p>
    <w:p w14:paraId="660271BE" w14:textId="77777777" w:rsidR="00F413FB" w:rsidRDefault="00F413FB" w:rsidP="00F413FB">
      <w:pPr>
        <w:jc w:val="both"/>
        <w:rPr>
          <w:rFonts w:ascii="Constantia" w:eastAsiaTheme="minorHAnsi" w:hAnsi="Constantia" w:cs="Calibri"/>
        </w:rPr>
      </w:pPr>
    </w:p>
    <w:p w14:paraId="289F6E51" w14:textId="77777777" w:rsidR="00F413FB" w:rsidRDefault="00F413FB" w:rsidP="00F413FB">
      <w:pPr>
        <w:rPr>
          <w:rFonts w:ascii="Constantia" w:hAnsi="Constantia"/>
          <w:b/>
          <w:u w:val="single"/>
        </w:rPr>
      </w:pPr>
    </w:p>
    <w:p w14:paraId="0AD88ADF" w14:textId="1F805B71" w:rsidR="00DE429D" w:rsidRPr="00DE429D" w:rsidRDefault="00DE429D" w:rsidP="00F413FB">
      <w:pPr>
        <w:jc w:val="both"/>
        <w:rPr>
          <w:rFonts w:ascii="Constantia" w:hAnsi="Constantia"/>
          <w:bCs/>
        </w:rPr>
      </w:pPr>
      <w:r w:rsidRPr="00DE429D">
        <w:rPr>
          <w:rFonts w:ascii="Constantia" w:hAnsi="Constantia"/>
          <w:bCs/>
        </w:rPr>
        <w:t>Az elmúlt egy évben a közgyűlés több határozatot is elfogadott, melyek különböző formában, de a parkolóház helyzetének hosszú távú rendezését szolgálták.</w:t>
      </w:r>
    </w:p>
    <w:p w14:paraId="30D1306F" w14:textId="77777777" w:rsidR="00F413FB" w:rsidRDefault="00F413FB" w:rsidP="00F413FB">
      <w:pPr>
        <w:jc w:val="both"/>
        <w:rPr>
          <w:rFonts w:ascii="Constantia" w:hAnsi="Constantia"/>
          <w:b/>
          <w:u w:val="single"/>
        </w:rPr>
      </w:pPr>
    </w:p>
    <w:p w14:paraId="5C3DF9E8" w14:textId="58E052B1" w:rsidR="00F413FB" w:rsidRPr="002743CA" w:rsidRDefault="00F413FB" w:rsidP="00F413FB">
      <w:pPr>
        <w:jc w:val="both"/>
        <w:rPr>
          <w:rFonts w:ascii="Constantia" w:hAnsi="Constantia"/>
          <w:u w:val="single"/>
        </w:rPr>
      </w:pPr>
      <w:r w:rsidRPr="002743CA">
        <w:rPr>
          <w:rFonts w:ascii="Constantia" w:hAnsi="Constantia"/>
          <w:b/>
          <w:u w:val="single"/>
        </w:rPr>
        <w:t>262 /2022 (VI.30) Közgyűlési Határozat</w:t>
      </w:r>
    </w:p>
    <w:p w14:paraId="50A92D32" w14:textId="77777777" w:rsidR="00F413FB" w:rsidRPr="002743CA" w:rsidRDefault="00F413FB" w:rsidP="00F413FB">
      <w:pPr>
        <w:pStyle w:val="lfej"/>
        <w:tabs>
          <w:tab w:val="left" w:pos="708"/>
        </w:tabs>
        <w:jc w:val="both"/>
        <w:rPr>
          <w:rFonts w:ascii="Constantia" w:hAnsi="Constantia" w:cs="Tahoma"/>
        </w:rPr>
      </w:pPr>
      <w:r w:rsidRPr="002743CA">
        <w:rPr>
          <w:rFonts w:ascii="Constantia" w:hAnsi="Constantia" w:cstheme="minorHAnsi"/>
          <w:bCs/>
          <w:iCs/>
        </w:rPr>
        <w:t xml:space="preserve">Eger Megyei Jogú Város Önkormányzata Közgyűlése felhatalmazza az EVAT Zrt. Igazgatóságának elnökét és a vezérigazgatót, hogy a Katona István téri Parkolóház jogi helyzetének rendezése érdekében folytasson tárgyalásokat az </w:t>
      </w:r>
      <w:proofErr w:type="spellStart"/>
      <w:r w:rsidRPr="002743CA">
        <w:rPr>
          <w:rFonts w:ascii="Constantia" w:hAnsi="Constantia" w:cstheme="minorHAnsi"/>
          <w:bCs/>
          <w:iCs/>
        </w:rPr>
        <w:t>Agria</w:t>
      </w:r>
      <w:proofErr w:type="spellEnd"/>
      <w:r w:rsidRPr="002743CA">
        <w:rPr>
          <w:rFonts w:ascii="Constantia" w:hAnsi="Constantia" w:cstheme="minorHAnsi"/>
          <w:bCs/>
          <w:iCs/>
        </w:rPr>
        <w:t xml:space="preserve"> Parkoló Kft-vel, az ingatlan önkormányzat általi megvételére, illetve az EVAT Zrt általi bérletére vonatkozó opciókkal, egy esetleges vásárlás esetén a Parkolóház értékesítése ill. bérbeadásának lehetőségére is, és a tárgyalások eredményét tartalmazó megállapodás tervezeteket  terjessze közgyűlés elé.</w:t>
      </w:r>
    </w:p>
    <w:p w14:paraId="0537B0EF" w14:textId="77777777" w:rsidR="00F413FB" w:rsidRPr="002743CA" w:rsidRDefault="00F413FB" w:rsidP="00F413FB">
      <w:pPr>
        <w:pStyle w:val="lfej"/>
        <w:tabs>
          <w:tab w:val="left" w:pos="708"/>
        </w:tabs>
        <w:rPr>
          <w:rFonts w:ascii="Constantia" w:hAnsi="Constantia" w:cs="Tahoma"/>
        </w:rPr>
      </w:pPr>
      <w:r w:rsidRPr="002743CA">
        <w:rPr>
          <w:rFonts w:ascii="Constantia" w:hAnsi="Constantia" w:cstheme="minorHAnsi"/>
          <w:bCs/>
          <w:i/>
          <w:iCs/>
        </w:rPr>
        <w:t> </w:t>
      </w:r>
    </w:p>
    <w:p w14:paraId="5F2F4C06" w14:textId="77777777" w:rsidR="00F413FB" w:rsidRPr="002743CA" w:rsidRDefault="00F413FB" w:rsidP="00F413FB">
      <w:pPr>
        <w:jc w:val="both"/>
        <w:rPr>
          <w:rFonts w:ascii="Constantia" w:eastAsiaTheme="minorEastAsia" w:hAnsi="Constantia" w:cs="Times"/>
        </w:rPr>
      </w:pPr>
    </w:p>
    <w:p w14:paraId="34846144" w14:textId="77777777" w:rsidR="00F413FB" w:rsidRPr="002743CA" w:rsidRDefault="00F413FB" w:rsidP="00F413FB">
      <w:pPr>
        <w:jc w:val="both"/>
        <w:rPr>
          <w:rFonts w:ascii="Constantia" w:eastAsiaTheme="minorHAnsi" w:hAnsi="Constantia" w:cstheme="minorBidi"/>
          <w:u w:val="single"/>
          <w:lang w:eastAsia="en-US"/>
        </w:rPr>
      </w:pPr>
      <w:r w:rsidRPr="002743CA">
        <w:rPr>
          <w:rFonts w:ascii="Constantia" w:hAnsi="Constantia"/>
          <w:b/>
          <w:u w:val="single"/>
        </w:rPr>
        <w:t>263 /2022 (VI.30) Közgyűlési Határozat</w:t>
      </w:r>
    </w:p>
    <w:p w14:paraId="5594346F" w14:textId="77777777" w:rsidR="00F413FB" w:rsidRPr="002743CA" w:rsidRDefault="00F413FB" w:rsidP="00F413FB">
      <w:pPr>
        <w:pStyle w:val="lfej"/>
        <w:tabs>
          <w:tab w:val="left" w:pos="708"/>
        </w:tabs>
        <w:rPr>
          <w:rFonts w:ascii="Constantia" w:hAnsi="Constantia" w:cstheme="minorHAnsi"/>
          <w:bCs/>
          <w:i/>
          <w:iCs/>
        </w:rPr>
      </w:pPr>
    </w:p>
    <w:p w14:paraId="31AC7226" w14:textId="77777777" w:rsidR="00F413FB" w:rsidRPr="002743CA" w:rsidRDefault="00F413FB" w:rsidP="00DE429D">
      <w:pPr>
        <w:pStyle w:val="lfej"/>
        <w:tabs>
          <w:tab w:val="left" w:pos="708"/>
        </w:tabs>
        <w:jc w:val="both"/>
        <w:rPr>
          <w:rFonts w:ascii="Constantia" w:hAnsi="Constantia" w:cstheme="minorHAnsi"/>
          <w:bCs/>
          <w:iCs/>
        </w:rPr>
      </w:pPr>
      <w:r w:rsidRPr="002743CA">
        <w:rPr>
          <w:rFonts w:ascii="Constantia" w:hAnsi="Constantia" w:cstheme="minorHAnsi"/>
          <w:bCs/>
          <w:iCs/>
        </w:rPr>
        <w:t>Eger Megyei Jogú Város Önkormányzata Közgyűlése felkéri a polgármestert, hogy az EVAT Zrt által lefolytatott tárgyalások eredményeképp, az ingatlan önkormányzat általi megvételére, illetve az EVAT Zrt általi bérletére vonatkozó megállapodási tervezetekre vonatkozó testületi döntés megszületése érdekében, a testületi anyagot terjessze a 2022. augusztusi közgyűlés elé.</w:t>
      </w:r>
    </w:p>
    <w:p w14:paraId="3FA3DDE4" w14:textId="77777777" w:rsidR="00F413FB" w:rsidRPr="002743CA" w:rsidRDefault="00F413FB" w:rsidP="00F413FB">
      <w:pPr>
        <w:pStyle w:val="lfej"/>
        <w:tabs>
          <w:tab w:val="left" w:pos="708"/>
        </w:tabs>
        <w:ind w:hanging="142"/>
        <w:jc w:val="both"/>
        <w:rPr>
          <w:rFonts w:ascii="Constantia" w:hAnsi="Constantia" w:cs="Tahoma"/>
        </w:rPr>
      </w:pPr>
    </w:p>
    <w:p w14:paraId="18C48717" w14:textId="77777777" w:rsidR="00F413FB" w:rsidRDefault="00F413FB"/>
    <w:p w14:paraId="2DEF7679" w14:textId="77777777" w:rsidR="00F413FB" w:rsidRPr="009478C0" w:rsidRDefault="00F413FB" w:rsidP="00F413FB">
      <w:pPr>
        <w:jc w:val="both"/>
        <w:rPr>
          <w:rFonts w:ascii="Constantia" w:hAnsi="Constantia"/>
          <w:b/>
        </w:rPr>
      </w:pPr>
      <w:r w:rsidRPr="009478C0">
        <w:rPr>
          <w:rFonts w:ascii="Constantia" w:hAnsi="Constantia"/>
          <w:b/>
          <w:u w:val="single"/>
        </w:rPr>
        <w:t>379/2022 (IX. 29) Közgyűlési Határozat</w:t>
      </w:r>
    </w:p>
    <w:p w14:paraId="56A0C6D7" w14:textId="77777777" w:rsidR="00F413FB" w:rsidRPr="009478C0" w:rsidRDefault="00F413FB" w:rsidP="00F413FB">
      <w:pPr>
        <w:jc w:val="both"/>
        <w:rPr>
          <w:rFonts w:ascii="Constantia" w:hAnsi="Constantia" w:cs="Calibri"/>
          <w:u w:val="single"/>
        </w:rPr>
      </w:pPr>
      <w:r w:rsidRPr="009478C0">
        <w:rPr>
          <w:rFonts w:ascii="Constantia" w:hAnsi="Constantia"/>
        </w:rPr>
        <w:t xml:space="preserve">1.Eger MJV Önkormányzat Közgyűlése elrendeli, hogy az </w:t>
      </w:r>
      <w:r w:rsidRPr="009478C0">
        <w:rPr>
          <w:rFonts w:ascii="Constantia" w:hAnsi="Constantia" w:cs="Calibri"/>
        </w:rPr>
        <w:t xml:space="preserve">EVAT Zrt által, a Katona Téri Parkolóház ingatlan bérleti szerződés megszűnését követően, az </w:t>
      </w:r>
      <w:proofErr w:type="spellStart"/>
      <w:r w:rsidRPr="009478C0">
        <w:rPr>
          <w:rFonts w:ascii="Constantia" w:hAnsi="Constantia" w:cs="Calibri"/>
        </w:rPr>
        <w:t>Agria</w:t>
      </w:r>
      <w:proofErr w:type="spellEnd"/>
      <w:r w:rsidRPr="009478C0">
        <w:rPr>
          <w:rFonts w:ascii="Constantia" w:hAnsi="Constantia" w:cs="Calibri"/>
        </w:rPr>
        <w:t xml:space="preserve"> Parkoló Kft részére ellentételezés nélkül kifizetett bérleti díjak megtérítését, valamint ezen kifizetések biztosítása érdekében az Önkormányzat 2022. évi költségvetésének módosítását. Felkéri továbbá az EVAT Zrt Igazgatóságát, hogy a Katona Téri Parkolóház zavartalan működése értekében, </w:t>
      </w:r>
      <w:proofErr w:type="spellStart"/>
      <w:r w:rsidRPr="009478C0">
        <w:rPr>
          <w:rFonts w:ascii="Constantia" w:hAnsi="Constantia" w:cs="Calibri"/>
        </w:rPr>
        <w:t>Agria</w:t>
      </w:r>
      <w:proofErr w:type="spellEnd"/>
      <w:r w:rsidRPr="009478C0">
        <w:rPr>
          <w:rFonts w:ascii="Constantia" w:hAnsi="Constantia" w:cs="Calibri"/>
        </w:rPr>
        <w:t xml:space="preserve"> Parkoló Kft-vel </w:t>
      </w:r>
      <w:r w:rsidRPr="009478C0">
        <w:rPr>
          <w:rFonts w:ascii="Constantia" w:hAnsi="Constantia" w:cs="Calibri"/>
          <w:u w:val="single"/>
        </w:rPr>
        <w:t xml:space="preserve">3.900 </w:t>
      </w:r>
      <w:proofErr w:type="spellStart"/>
      <w:r w:rsidRPr="009478C0">
        <w:rPr>
          <w:rFonts w:ascii="Constantia" w:hAnsi="Constantia" w:cs="Calibri"/>
          <w:u w:val="single"/>
        </w:rPr>
        <w:t>EFt</w:t>
      </w:r>
      <w:proofErr w:type="spellEnd"/>
      <w:r w:rsidRPr="009478C0">
        <w:rPr>
          <w:rFonts w:ascii="Constantia" w:hAnsi="Constantia" w:cs="Calibri"/>
          <w:u w:val="single"/>
        </w:rPr>
        <w:t>/hó induló bérleti díj mellett</w:t>
      </w:r>
      <w:r w:rsidRPr="009478C0">
        <w:rPr>
          <w:rFonts w:ascii="Constantia" w:hAnsi="Constantia" w:cs="Calibri"/>
        </w:rPr>
        <w:t xml:space="preserve"> 25 év időtartamra, kössön bérleti szerződést, az ingatlan üzemeltetéséről gondoskodjon, melyre vonatkozóan az Önkormányzattal kötendő megállapodás tervezetét a soron következő közgyűlésre a szükséges döntések érdekében a képviselő testület tagjainak megküldje.</w:t>
      </w:r>
    </w:p>
    <w:p w14:paraId="1CE23A9E" w14:textId="77777777" w:rsidR="00F413FB" w:rsidRDefault="00F413FB"/>
    <w:p w14:paraId="3CA4483C" w14:textId="77777777" w:rsidR="00F413FB" w:rsidRPr="00DE429D" w:rsidRDefault="00F413FB" w:rsidP="00F413FB">
      <w:pPr>
        <w:pStyle w:val="Szvegtrzs"/>
        <w:ind w:right="141"/>
        <w:rPr>
          <w:rFonts w:ascii="Constantia" w:hAnsi="Constantia"/>
          <w:b/>
          <w:i w:val="0"/>
          <w:iCs/>
          <w:u w:val="single"/>
        </w:rPr>
      </w:pPr>
      <w:r w:rsidRPr="00DE429D">
        <w:rPr>
          <w:rFonts w:ascii="Constantia" w:hAnsi="Constantia"/>
          <w:b/>
          <w:i w:val="0"/>
          <w:iCs/>
          <w:u w:val="single"/>
        </w:rPr>
        <w:t>99/2023. (II.23.) közgyűlési határozat</w:t>
      </w:r>
    </w:p>
    <w:p w14:paraId="0573FB72" w14:textId="77777777" w:rsidR="00F413FB" w:rsidRDefault="00F413FB" w:rsidP="00F413FB">
      <w:pPr>
        <w:ind w:left="705" w:hanging="705"/>
        <w:jc w:val="both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 </w:t>
      </w:r>
    </w:p>
    <w:p w14:paraId="4D81E921" w14:textId="77777777" w:rsidR="00F413FB" w:rsidRPr="0095617A" w:rsidRDefault="00F413FB" w:rsidP="00F413FB">
      <w:pPr>
        <w:jc w:val="both"/>
        <w:rPr>
          <w:rFonts w:ascii="Constantia" w:eastAsia="Calibri" w:hAnsi="Constantia" w:cs="Calibri"/>
          <w:bCs/>
        </w:rPr>
      </w:pPr>
      <w:r w:rsidRPr="0095617A">
        <w:rPr>
          <w:rFonts w:ascii="Constantia" w:eastAsia="Calibri" w:hAnsi="Constantia" w:cs="Calibri"/>
          <w:bCs/>
        </w:rPr>
        <w:t xml:space="preserve">Eger Megyei Jogú Város Önkormányzata Közgyűlése elrendeli, hogy az Önkormányzat vegye közvetlen üzemeltetésbe és nyissa meg az Eger, Katona téri parkolóházat, ennek érdekében folytasson közvetlen egyeztetéseket az </w:t>
      </w:r>
      <w:proofErr w:type="spellStart"/>
      <w:r w:rsidRPr="0095617A">
        <w:rPr>
          <w:rFonts w:ascii="Constantia" w:eastAsia="Calibri" w:hAnsi="Constantia" w:cs="Calibri"/>
          <w:bCs/>
        </w:rPr>
        <w:t>Agria</w:t>
      </w:r>
      <w:proofErr w:type="spellEnd"/>
      <w:r w:rsidRPr="0095617A">
        <w:rPr>
          <w:rFonts w:ascii="Constantia" w:eastAsia="Calibri" w:hAnsi="Constantia" w:cs="Calibri"/>
          <w:bCs/>
        </w:rPr>
        <w:t xml:space="preserve"> Parkoló Kft-vel a 2010. február 11-én megkötött, majd 2011. március 31. napján módosított az Eger Katona téri Parklóház megvalósítása és üzemeltetése tárgyában kötött Megállapodás és Ingatlan adásvételi szerződés módosításáról.</w:t>
      </w:r>
    </w:p>
    <w:p w14:paraId="0BD970FB" w14:textId="77777777" w:rsidR="00F413FB" w:rsidRPr="0095617A" w:rsidRDefault="00F413FB" w:rsidP="00F413FB">
      <w:pPr>
        <w:jc w:val="both"/>
        <w:outlineLvl w:val="0"/>
        <w:rPr>
          <w:rFonts w:ascii="Constantia" w:eastAsia="Calibri" w:hAnsi="Constantia" w:cs="Calibri"/>
          <w:bCs/>
        </w:rPr>
      </w:pPr>
      <w:r w:rsidRPr="0095617A">
        <w:rPr>
          <w:rFonts w:ascii="Constantia" w:eastAsia="Calibri" w:hAnsi="Constantia" w:cs="Calibri"/>
          <w:bCs/>
        </w:rPr>
        <w:t>Eger Megyei Jogú Város Önkormányzata Közgyűlése felszólítja az EVAT Egri Vagyonkezelő és Távfűtő Zrt-t, hogy az ingatlan átadását az Önkormányzat felé haladéktalanul tegye meg. A Közgyűlés visszavonja továbbá a 379/2022 (IX. 29) Közgyűlési határozatot.</w:t>
      </w:r>
    </w:p>
    <w:p w14:paraId="2FD0066E" w14:textId="77777777" w:rsidR="00F413FB" w:rsidRPr="002D1283" w:rsidRDefault="00F413FB" w:rsidP="00F413FB">
      <w:pPr>
        <w:jc w:val="both"/>
        <w:rPr>
          <w:rFonts w:ascii="Constantia" w:eastAsia="Calibri" w:hAnsi="Constantia" w:cs="Calibri"/>
          <w:b/>
          <w:u w:val="single"/>
        </w:rPr>
      </w:pPr>
    </w:p>
    <w:p w14:paraId="6DADB922" w14:textId="77777777" w:rsidR="00F413FB" w:rsidRDefault="00F413FB"/>
    <w:p w14:paraId="7FD6FCC5" w14:textId="77777777" w:rsidR="00F413FB" w:rsidRPr="00DE429D" w:rsidRDefault="00F413FB" w:rsidP="00DE429D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Constantia" w:hAnsi="Constantia"/>
          <w:b/>
          <w:bCs/>
          <w:u w:val="single"/>
        </w:rPr>
      </w:pPr>
      <w:r w:rsidRPr="00DE429D">
        <w:rPr>
          <w:rFonts w:ascii="Constantia" w:hAnsi="Constantia"/>
          <w:b/>
          <w:bCs/>
          <w:u w:val="single"/>
        </w:rPr>
        <w:t>213/2023 (IV.27) Közgyűlési határozat</w:t>
      </w:r>
    </w:p>
    <w:p w14:paraId="75AC021B" w14:textId="77777777" w:rsidR="00F413FB" w:rsidRPr="00540DF7" w:rsidRDefault="00F413FB" w:rsidP="00F413FB">
      <w:pPr>
        <w:pStyle w:val="NormlWeb"/>
        <w:shd w:val="clear" w:color="auto" w:fill="FFFFFF"/>
        <w:spacing w:before="0" w:beforeAutospacing="0" w:after="0" w:afterAutospacing="0"/>
        <w:ind w:left="-426"/>
        <w:textAlignment w:val="top"/>
        <w:rPr>
          <w:rFonts w:ascii="Constantia" w:hAnsi="Constantia"/>
          <w:u w:val="single"/>
        </w:rPr>
      </w:pPr>
    </w:p>
    <w:p w14:paraId="56913E37" w14:textId="77777777" w:rsidR="00F413FB" w:rsidRDefault="00F413FB" w:rsidP="00DE429D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nstantia" w:hAnsi="Constantia"/>
          <w:color w:val="000000"/>
        </w:rPr>
        <w:t xml:space="preserve">Eger Megyei Jogú Város Önkormányzat </w:t>
      </w:r>
      <w:r w:rsidRPr="00DE429D">
        <w:rPr>
          <w:rFonts w:ascii="Constantia" w:hAnsi="Constantia"/>
          <w:color w:val="000000"/>
        </w:rPr>
        <w:t>Közgyűlése elrendeli a Katona téri parkolóház működtetésének fedezetéül mindösszesen 117.249.036.- Ft átcsoportosítását a 2023. évi költségvetés Kiadási oldalának II/6/4/1/3/K EVAT Zrt. - Parkoló üzemeltetéssel összefüggő kiadások címszámról a II. fejezeten belüli új Eger Katona téri parkolóház üzemeltetésével összefüggő</w:t>
      </w:r>
      <w:r>
        <w:rPr>
          <w:rFonts w:ascii="Constantia" w:hAnsi="Constantia"/>
          <w:color w:val="000000"/>
        </w:rPr>
        <w:t xml:space="preserve"> kiadások címszámára, azzal a feltétellel, hogy a 2022. évi pénzmaradvány elfogadásakor ezen összeggel a II/6/4/1/3/K EVAT Zrt. - Parkoló üzemeltetéssel összefüggő kiadások címszám visszapótlásra kerüljön.</w:t>
      </w:r>
    </w:p>
    <w:p w14:paraId="1D0CB5B9" w14:textId="77777777" w:rsidR="00F413FB" w:rsidRPr="00290B9D" w:rsidRDefault="00F413FB" w:rsidP="00F413FB">
      <w:pPr>
        <w:rPr>
          <w:rFonts w:ascii="Constantia" w:hAnsi="Constantia"/>
        </w:rPr>
      </w:pPr>
    </w:p>
    <w:p w14:paraId="00CD03DB" w14:textId="77777777" w:rsidR="00F413FB" w:rsidRDefault="00F413FB" w:rsidP="00F413FB">
      <w:pPr>
        <w:pStyle w:val="Listaszerbekezds"/>
        <w:tabs>
          <w:tab w:val="center" w:pos="6237"/>
        </w:tabs>
        <w:rPr>
          <w:rFonts w:ascii="Constantia" w:hAnsi="Constantia"/>
          <w:szCs w:val="24"/>
        </w:rPr>
      </w:pPr>
    </w:p>
    <w:p w14:paraId="773E8306" w14:textId="77777777" w:rsidR="00F413FB" w:rsidRPr="00747630" w:rsidRDefault="00F413FB" w:rsidP="00F413FB">
      <w:pPr>
        <w:rPr>
          <w:rFonts w:ascii="Constantia" w:hAnsi="Constantia"/>
          <w:b/>
          <w:bCs/>
          <w:u w:val="single"/>
        </w:rPr>
      </w:pPr>
      <w:r>
        <w:rPr>
          <w:rFonts w:ascii="Constantia" w:hAnsi="Constantia"/>
          <w:b/>
          <w:bCs/>
          <w:u w:val="single"/>
        </w:rPr>
        <w:t>214</w:t>
      </w:r>
      <w:r w:rsidRPr="00747630">
        <w:rPr>
          <w:rFonts w:ascii="Constantia" w:hAnsi="Constantia"/>
          <w:b/>
          <w:bCs/>
          <w:u w:val="single"/>
        </w:rPr>
        <w:t>/2023 (IV.27) Közgyűlési határozat</w:t>
      </w:r>
    </w:p>
    <w:p w14:paraId="34357391" w14:textId="77777777" w:rsidR="00F413FB" w:rsidRDefault="00F413FB" w:rsidP="00F413FB">
      <w:pPr>
        <w:jc w:val="both"/>
        <w:rPr>
          <w:rFonts w:ascii="Constantia" w:eastAsia="Calibri" w:hAnsi="Constantia" w:cs="Calibri"/>
          <w:b/>
        </w:rPr>
      </w:pPr>
    </w:p>
    <w:p w14:paraId="019F5B38" w14:textId="77777777" w:rsidR="00F413FB" w:rsidRPr="00DE429D" w:rsidRDefault="00F413FB" w:rsidP="00DE429D">
      <w:pPr>
        <w:jc w:val="both"/>
        <w:rPr>
          <w:rFonts w:ascii="Constantia" w:hAnsi="Constantia" w:cs="Tahoma"/>
          <w:color w:val="000000"/>
        </w:rPr>
      </w:pPr>
      <w:r w:rsidRPr="00A8125D">
        <w:rPr>
          <w:rFonts w:ascii="Constantia" w:hAnsi="Constantia" w:cs="Tahoma"/>
          <w:color w:val="000000"/>
        </w:rPr>
        <w:t xml:space="preserve">Eger Megyei Jogú Város Önkormányzata felhatalmazza EMJV Polgármesterét, hogy tárgyalásokat folytasson az Eger, belterületi 4870/6 helyrajzi szám alatt lévő Katona téri Parkolóház </w:t>
      </w:r>
      <w:r w:rsidRPr="00DE429D">
        <w:rPr>
          <w:rFonts w:ascii="Constantia" w:hAnsi="Constantia" w:cs="Tahoma"/>
          <w:color w:val="000000"/>
        </w:rPr>
        <w:t>vonatkozásában átmeneti időre történő bérleti szerződés megkötéséről a mellékelt tervezet szerint, azonban attól az alábbi lényeges feltételek tekintetében eltérő feltételekkel:</w:t>
      </w:r>
    </w:p>
    <w:p w14:paraId="597B2924" w14:textId="77777777" w:rsidR="00F413FB" w:rsidRPr="00DE429D" w:rsidRDefault="00F413FB" w:rsidP="00DE42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nstantia" w:hAnsi="Constantia" w:cs="Tahoma"/>
          <w:color w:val="000000"/>
        </w:rPr>
      </w:pPr>
      <w:r w:rsidRPr="00DE429D">
        <w:rPr>
          <w:rFonts w:ascii="Constantia" w:hAnsi="Constantia" w:cs="Tahoma"/>
          <w:color w:val="000000"/>
        </w:rPr>
        <w:t>vételi jog fenntartása mellett, 5 évre, a 2010. február 11. kelt alapmegállapodás 6.2. pontja szerinti feltételekkel</w:t>
      </w:r>
      <w:r w:rsidRPr="00DE429D">
        <w:rPr>
          <w:rFonts w:ascii="Constantia" w:hAnsi="Constantia"/>
          <w:color w:val="000000"/>
        </w:rPr>
        <w:t xml:space="preserve"> </w:t>
      </w:r>
    </w:p>
    <w:p w14:paraId="64E633F3" w14:textId="77777777" w:rsidR="00F413FB" w:rsidRPr="00DE429D" w:rsidRDefault="00F413FB" w:rsidP="00DE42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nstantia" w:hAnsi="Constantia" w:cs="Tahoma"/>
          <w:color w:val="000000"/>
        </w:rPr>
      </w:pPr>
      <w:r w:rsidRPr="00DE429D">
        <w:rPr>
          <w:rFonts w:ascii="Constantia" w:hAnsi="Constantia" w:cs="Tahoma"/>
          <w:color w:val="000000"/>
        </w:rPr>
        <w:t>az Önkormányzat egyoldalú joglemondása nélkül</w:t>
      </w:r>
    </w:p>
    <w:p w14:paraId="6E63EFD4" w14:textId="77777777" w:rsidR="00F413FB" w:rsidRPr="00DE429D" w:rsidRDefault="00F413FB" w:rsidP="00DE42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onstantia" w:hAnsi="Constantia" w:cs="Tahoma"/>
          <w:color w:val="000000"/>
        </w:rPr>
      </w:pPr>
      <w:r w:rsidRPr="00DE429D">
        <w:rPr>
          <w:rFonts w:ascii="Constantia" w:hAnsi="Constantia" w:cs="Tahoma"/>
          <w:color w:val="000000"/>
        </w:rPr>
        <w:t>a Bérbeadó 13 964 495.- Ft összegű jogalap nélküli követelésének kifizetése nélkül</w:t>
      </w:r>
    </w:p>
    <w:p w14:paraId="0AF49034" w14:textId="77777777" w:rsidR="00F413FB" w:rsidRPr="00DE429D" w:rsidRDefault="00F413FB" w:rsidP="00DE429D">
      <w:pPr>
        <w:jc w:val="both"/>
        <w:rPr>
          <w:rFonts w:ascii="Constantia" w:hAnsi="Constantia" w:cs="Tahoma"/>
          <w:color w:val="000000"/>
        </w:rPr>
      </w:pPr>
    </w:p>
    <w:p w14:paraId="634CDBDA" w14:textId="77777777" w:rsidR="00F413FB" w:rsidRPr="00A8125D" w:rsidRDefault="00F413FB" w:rsidP="00DE429D">
      <w:pPr>
        <w:jc w:val="both"/>
        <w:rPr>
          <w:rFonts w:ascii="Constantia" w:hAnsi="Constantia" w:cs="Tahoma"/>
          <w:color w:val="000000"/>
        </w:rPr>
      </w:pPr>
      <w:r w:rsidRPr="00DE429D">
        <w:rPr>
          <w:rFonts w:ascii="Constantia" w:hAnsi="Constantia" w:cs="Tahoma"/>
          <w:color w:val="000000"/>
        </w:rPr>
        <w:t>A Közgyűlés felhatalmazza a Polgármestert a határozat végrehajtása érdekében szükséges egyeztetések lefolytatására aláírására. A Polgármester tegyen továbbá javaslatot ennek kötelezettséggel nem terhelt költségvetési fedezetére</w:t>
      </w:r>
      <w:r w:rsidRPr="00A8125D">
        <w:rPr>
          <w:rFonts w:ascii="Constantia" w:hAnsi="Constantia" w:cs="Tahoma"/>
          <w:color w:val="000000"/>
        </w:rPr>
        <w:t xml:space="preserve">. </w:t>
      </w:r>
    </w:p>
    <w:p w14:paraId="169B268B" w14:textId="77777777" w:rsidR="00F413FB" w:rsidRPr="00A8125D" w:rsidRDefault="00F413FB" w:rsidP="00F413FB">
      <w:pPr>
        <w:rPr>
          <w:rFonts w:ascii="Constantia" w:hAnsi="Constantia" w:cs="Tahoma"/>
          <w:color w:val="000000"/>
        </w:rPr>
      </w:pPr>
    </w:p>
    <w:p w14:paraId="70664C30" w14:textId="71B78371" w:rsidR="00F413FB" w:rsidRDefault="00F413FB" w:rsidP="00F413FB">
      <w:pPr>
        <w:tabs>
          <w:tab w:val="left" w:pos="708"/>
          <w:tab w:val="right" w:pos="9072"/>
        </w:tabs>
        <w:spacing w:line="276" w:lineRule="auto"/>
        <w:jc w:val="both"/>
        <w:rPr>
          <w:rFonts w:ascii="Constantia" w:hAnsi="Constantia" w:cs="Arial"/>
          <w:b/>
          <w:bCs/>
          <w:u w:val="single"/>
          <w:lang w:eastAsia="en-US"/>
        </w:rPr>
      </w:pPr>
      <w:bookmarkStart w:id="0" w:name="_Hlk135056045"/>
      <w:bookmarkStart w:id="1" w:name="_Hlk135057364"/>
      <w:r w:rsidRPr="003431A2">
        <w:rPr>
          <w:rFonts w:ascii="Constantia" w:hAnsi="Constantia" w:cs="Arial"/>
          <w:b/>
          <w:bCs/>
          <w:u w:val="single"/>
          <w:lang w:eastAsia="en-US"/>
        </w:rPr>
        <w:t>262/2023. (V.16.) közgyűlési határozat</w:t>
      </w:r>
      <w:bookmarkEnd w:id="0"/>
    </w:p>
    <w:p w14:paraId="25A29C0B" w14:textId="77777777" w:rsidR="00DE429D" w:rsidRPr="003431A2" w:rsidRDefault="00DE429D" w:rsidP="00F413FB">
      <w:pPr>
        <w:tabs>
          <w:tab w:val="left" w:pos="708"/>
          <w:tab w:val="right" w:pos="9072"/>
        </w:tabs>
        <w:spacing w:line="276" w:lineRule="auto"/>
        <w:jc w:val="both"/>
        <w:rPr>
          <w:rFonts w:ascii="Constantia" w:hAnsi="Constantia" w:cs="Arial"/>
          <w:b/>
          <w:bCs/>
          <w:u w:val="single"/>
          <w:lang w:eastAsia="en-US"/>
        </w:rPr>
      </w:pPr>
    </w:p>
    <w:p w14:paraId="1F85BBF6" w14:textId="77777777" w:rsidR="00F413FB" w:rsidRPr="003431A2" w:rsidRDefault="00F413FB" w:rsidP="00F413FB">
      <w:pPr>
        <w:jc w:val="both"/>
        <w:rPr>
          <w:rFonts w:ascii="Constantia" w:eastAsiaTheme="minorHAnsi" w:hAnsi="Constantia" w:cs="Constantia"/>
          <w:bCs/>
          <w:lang w:eastAsia="en-US"/>
        </w:rPr>
      </w:pPr>
      <w:r w:rsidRPr="003431A2">
        <w:rPr>
          <w:rFonts w:ascii="Constantia" w:eastAsiaTheme="minorHAnsi" w:hAnsi="Constantia" w:cs="Constantia"/>
          <w:bCs/>
          <w:lang w:eastAsia="en-US"/>
        </w:rPr>
        <w:t>Eger Megyei Jogú Város Önkormányzata dönt az Eger, belterületi 4870/6 helyrajzi szám alatt lévő Katona téri Parkolóházra vonatkozó, határozott időtartamú bérleti szerződés megkötéséről, mely összeg Eger MJV Önkormányzata 2023. évi költségvetése II. fejezeten/Eger Katona téri parkolóház címszámán rendelkezésre áll, az alábbi jelentős szerződési feltételek elfogadása mellett:</w:t>
      </w:r>
    </w:p>
    <w:p w14:paraId="68887CD8" w14:textId="77777777" w:rsidR="00F413FB" w:rsidRPr="003431A2" w:rsidRDefault="00F413FB" w:rsidP="00F413FB">
      <w:pPr>
        <w:jc w:val="both"/>
        <w:rPr>
          <w:rFonts w:ascii="Constantia" w:eastAsiaTheme="minorHAnsi" w:hAnsi="Constantia" w:cs="Constantia"/>
          <w:bCs/>
          <w:lang w:eastAsia="en-US"/>
        </w:rPr>
      </w:pPr>
    </w:p>
    <w:p w14:paraId="572A5850" w14:textId="77777777" w:rsidR="00F413FB" w:rsidRPr="003431A2" w:rsidRDefault="00F413FB" w:rsidP="00F413FB">
      <w:pPr>
        <w:numPr>
          <w:ilvl w:val="0"/>
          <w:numId w:val="2"/>
        </w:numPr>
        <w:spacing w:after="160" w:line="256" w:lineRule="auto"/>
        <w:rPr>
          <w:rFonts w:ascii="Constantia" w:hAnsi="Constantia" w:cstheme="minorBidi"/>
          <w:lang w:eastAsia="en-US"/>
        </w:rPr>
      </w:pPr>
      <w:r w:rsidRPr="003431A2">
        <w:rPr>
          <w:rFonts w:ascii="Constantia" w:hAnsi="Constantia" w:cstheme="minorBidi"/>
          <w:lang w:eastAsia="en-US"/>
        </w:rPr>
        <w:t xml:space="preserve">Határozott idejű bérleti szerződés 2023.06.01. – 2029.05.31. (havi teljesítés, számlázás és fizetés) az </w:t>
      </w:r>
      <w:proofErr w:type="spellStart"/>
      <w:r w:rsidRPr="003431A2">
        <w:rPr>
          <w:rFonts w:ascii="Constantia" w:hAnsi="Constantia" w:cstheme="minorBidi"/>
          <w:lang w:eastAsia="en-US"/>
        </w:rPr>
        <w:t>Agria</w:t>
      </w:r>
      <w:proofErr w:type="spellEnd"/>
      <w:r w:rsidRPr="003431A2">
        <w:rPr>
          <w:rFonts w:ascii="Constantia" w:hAnsi="Constantia" w:cstheme="minorBidi"/>
          <w:lang w:eastAsia="en-US"/>
        </w:rPr>
        <w:t xml:space="preserve"> Parkoló Kft és Eger MJV Önkormányzata között.</w:t>
      </w:r>
    </w:p>
    <w:p w14:paraId="0E8AD9D8" w14:textId="77777777" w:rsidR="00F413FB" w:rsidRPr="003431A2" w:rsidRDefault="00F413FB" w:rsidP="00F413FB">
      <w:pPr>
        <w:numPr>
          <w:ilvl w:val="0"/>
          <w:numId w:val="2"/>
        </w:numPr>
        <w:spacing w:after="160" w:line="256" w:lineRule="auto"/>
        <w:rPr>
          <w:rFonts w:ascii="Constantia" w:hAnsi="Constantia" w:cstheme="minorBidi"/>
          <w:lang w:eastAsia="en-US"/>
        </w:rPr>
      </w:pPr>
      <w:r w:rsidRPr="003431A2">
        <w:rPr>
          <w:rFonts w:ascii="Constantia" w:hAnsi="Constantia" w:cstheme="minorBidi"/>
          <w:lang w:eastAsia="en-US"/>
        </w:rPr>
        <w:t>Nettó bérleti díjak:</w:t>
      </w:r>
    </w:p>
    <w:tbl>
      <w:tblPr>
        <w:tblW w:w="5860" w:type="dxa"/>
        <w:tblInd w:w="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1200"/>
        <w:gridCol w:w="960"/>
      </w:tblGrid>
      <w:tr w:rsidR="00F413FB" w:rsidRPr="003431A2" w14:paraId="4469C28E" w14:textId="77777777" w:rsidTr="00E140E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3F2B4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1. év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2EF49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havi bérleti díj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27BCA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  <w:b/>
                <w:bCs/>
              </w:rPr>
            </w:pPr>
            <w:r w:rsidRPr="003431A2">
              <w:rPr>
                <w:rFonts w:ascii="Constantia" w:eastAsiaTheme="minorHAnsi" w:hAnsi="Constantia" w:cstheme="minorBidi"/>
                <w:b/>
                <w:bCs/>
              </w:rPr>
              <w:t>5 250 000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3DE09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/hó</w:t>
            </w:r>
          </w:p>
        </w:tc>
      </w:tr>
      <w:tr w:rsidR="00F413FB" w:rsidRPr="003431A2" w14:paraId="7B95D916" w14:textId="77777777" w:rsidTr="00E140E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599FC6" w14:textId="77777777" w:rsidR="00F413FB" w:rsidRPr="003431A2" w:rsidRDefault="00F413FB" w:rsidP="00E140E6">
            <w:pPr>
              <w:rPr>
                <w:rFonts w:ascii="Constantia" w:eastAsiaTheme="minorHAnsi" w:hAnsi="Constantia" w:cs="Calibr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32EC6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éves bérleti díj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60C1D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63 000 000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B987E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/év</w:t>
            </w:r>
          </w:p>
        </w:tc>
      </w:tr>
      <w:tr w:rsidR="00F413FB" w:rsidRPr="003431A2" w14:paraId="3A63448C" w14:textId="77777777" w:rsidTr="00E140E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60D7D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2. év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04ED9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havi bérleti díj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DBDE2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6 000 000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A8C40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/hó</w:t>
            </w:r>
          </w:p>
        </w:tc>
      </w:tr>
      <w:tr w:rsidR="00F413FB" w:rsidRPr="003431A2" w14:paraId="56FF6BF6" w14:textId="77777777" w:rsidTr="00E140E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98BC6" w14:textId="77777777" w:rsidR="00F413FB" w:rsidRPr="003431A2" w:rsidRDefault="00F413FB" w:rsidP="00E140E6">
            <w:pPr>
              <w:rPr>
                <w:rFonts w:ascii="Constantia" w:eastAsiaTheme="minorHAnsi" w:hAnsi="Constantia" w:cs="Calibr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3E765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éves bérleti díj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0FDEF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72 000 000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A9769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/év</w:t>
            </w:r>
          </w:p>
        </w:tc>
      </w:tr>
      <w:tr w:rsidR="00F413FB" w:rsidRPr="003431A2" w14:paraId="53551B92" w14:textId="77777777" w:rsidTr="00E140E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DADE3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3. év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49810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havi bérleti díj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A52F0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6 000 000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C92B5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/hó</w:t>
            </w:r>
          </w:p>
        </w:tc>
      </w:tr>
      <w:tr w:rsidR="00F413FB" w:rsidRPr="003431A2" w14:paraId="04EA7E78" w14:textId="77777777" w:rsidTr="00E140E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0F8696" w14:textId="77777777" w:rsidR="00F413FB" w:rsidRPr="003431A2" w:rsidRDefault="00F413FB" w:rsidP="00E140E6">
            <w:pPr>
              <w:rPr>
                <w:rFonts w:ascii="Constantia" w:eastAsiaTheme="minorHAnsi" w:hAnsi="Constantia" w:cs="Calibr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AD41B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éves bérleti díj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7B85A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72 000 000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80311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/év</w:t>
            </w:r>
          </w:p>
        </w:tc>
      </w:tr>
      <w:tr w:rsidR="00F413FB" w:rsidRPr="003431A2" w14:paraId="568A23F1" w14:textId="77777777" w:rsidTr="00E140E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285A1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4. év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D48A2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havi bérleti díj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82BD9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6 000 000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6D1C3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/hó</w:t>
            </w:r>
          </w:p>
        </w:tc>
      </w:tr>
      <w:tr w:rsidR="00F413FB" w:rsidRPr="003431A2" w14:paraId="311CC72E" w14:textId="77777777" w:rsidTr="00E140E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91C95E" w14:textId="77777777" w:rsidR="00F413FB" w:rsidRPr="003431A2" w:rsidRDefault="00F413FB" w:rsidP="00E140E6">
            <w:pPr>
              <w:rPr>
                <w:rFonts w:ascii="Constantia" w:eastAsiaTheme="minorHAnsi" w:hAnsi="Constantia" w:cs="Calibr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6D571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éves bérleti díj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73607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72 000 000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08C8C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/év</w:t>
            </w:r>
          </w:p>
        </w:tc>
      </w:tr>
      <w:tr w:rsidR="00F413FB" w:rsidRPr="003431A2" w14:paraId="51D03E05" w14:textId="77777777" w:rsidTr="00E140E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1EDFA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5. év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3677D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havi bérleti díj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5EDD2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6 000 000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148BC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/hó</w:t>
            </w:r>
          </w:p>
        </w:tc>
      </w:tr>
      <w:tr w:rsidR="00F413FB" w:rsidRPr="003431A2" w14:paraId="3071C7A6" w14:textId="77777777" w:rsidTr="00E140E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82AF8" w14:textId="77777777" w:rsidR="00F413FB" w:rsidRPr="003431A2" w:rsidRDefault="00F413FB" w:rsidP="00E140E6">
            <w:pPr>
              <w:rPr>
                <w:rFonts w:ascii="Constantia" w:eastAsiaTheme="minorHAnsi" w:hAnsi="Constantia" w:cs="Calibr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54E2D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éves bérleti díj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4E544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72 000 000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C6880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/év</w:t>
            </w:r>
          </w:p>
        </w:tc>
      </w:tr>
      <w:tr w:rsidR="00F413FB" w:rsidRPr="003431A2" w14:paraId="2F856867" w14:textId="77777777" w:rsidTr="00E140E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4FA48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6. év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260DE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havi bérleti díj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AEDC8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6 000 000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0CFEC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/hó</w:t>
            </w:r>
          </w:p>
        </w:tc>
      </w:tr>
      <w:tr w:rsidR="00F413FB" w:rsidRPr="003431A2" w14:paraId="5E1985A7" w14:textId="77777777" w:rsidTr="00E140E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30D36" w14:textId="77777777" w:rsidR="00F413FB" w:rsidRPr="003431A2" w:rsidRDefault="00F413FB" w:rsidP="00E140E6">
            <w:pPr>
              <w:rPr>
                <w:rFonts w:ascii="Constantia" w:eastAsiaTheme="minorHAnsi" w:hAnsi="Constantia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EA9A3" w14:textId="77777777" w:rsidR="00F413FB" w:rsidRPr="003431A2" w:rsidRDefault="00F413FB" w:rsidP="00E140E6">
            <w:pPr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éves bérleti díj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E7D9A" w14:textId="77777777" w:rsidR="00F413FB" w:rsidRPr="003431A2" w:rsidRDefault="00F413FB" w:rsidP="00E140E6">
            <w:pPr>
              <w:jc w:val="right"/>
              <w:rPr>
                <w:rFonts w:ascii="Constantia" w:eastAsiaTheme="minorHAnsi" w:hAnsi="Constantia" w:cstheme="minorBidi"/>
              </w:rPr>
            </w:pPr>
            <w:r w:rsidRPr="003431A2">
              <w:rPr>
                <w:rFonts w:ascii="Constantia" w:eastAsiaTheme="minorHAnsi" w:hAnsi="Constantia" w:cstheme="minorBidi"/>
              </w:rPr>
              <w:t>72 000 000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536F1" w14:textId="77777777" w:rsidR="00F413FB" w:rsidRPr="003431A2" w:rsidRDefault="00F413FB" w:rsidP="00E140E6">
            <w:pPr>
              <w:jc w:val="center"/>
              <w:rPr>
                <w:rFonts w:ascii="Constantia" w:eastAsiaTheme="minorHAnsi" w:hAnsi="Constantia" w:cstheme="minorBidi"/>
              </w:rPr>
            </w:pPr>
            <w:proofErr w:type="spellStart"/>
            <w:r w:rsidRPr="003431A2">
              <w:rPr>
                <w:rFonts w:ascii="Constantia" w:eastAsiaTheme="minorHAnsi" w:hAnsi="Constantia" w:cstheme="minorBidi"/>
              </w:rPr>
              <w:t>EFt</w:t>
            </w:r>
            <w:proofErr w:type="spellEnd"/>
            <w:r w:rsidRPr="003431A2">
              <w:rPr>
                <w:rFonts w:ascii="Constantia" w:eastAsiaTheme="minorHAnsi" w:hAnsi="Constantia" w:cstheme="minorBidi"/>
              </w:rPr>
              <w:t>/év</w:t>
            </w:r>
          </w:p>
        </w:tc>
      </w:tr>
    </w:tbl>
    <w:p w14:paraId="14294A29" w14:textId="77777777" w:rsidR="00F413FB" w:rsidRPr="003431A2" w:rsidRDefault="00F413FB" w:rsidP="00F413FB">
      <w:pPr>
        <w:rPr>
          <w:rFonts w:ascii="Constantia" w:eastAsiaTheme="minorHAnsi" w:hAnsi="Constantia" w:cs="Calibri"/>
          <w:lang w:eastAsia="en-US"/>
        </w:rPr>
      </w:pPr>
    </w:p>
    <w:p w14:paraId="0F0ECF5A" w14:textId="77777777" w:rsidR="00F413FB" w:rsidRPr="003431A2" w:rsidRDefault="00F413FB" w:rsidP="00F413F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3431A2">
        <w:rPr>
          <w:rFonts w:ascii="Constantia" w:hAnsi="Constantia" w:cstheme="minorHAnsi"/>
          <w:lang w:eastAsia="en-US"/>
        </w:rPr>
        <w:t>Bérlő köteles szabadon felhasználható kárfedezeti garanciát fizetni a Bérbeadó részére (a továbbiakban: „Óvadék”) a szerződés aláírást követően 8 napon belül. Az Óvadék összege 2 (kettő) havi kezdő bruttó bérleti díjjal egyező.</w:t>
      </w:r>
    </w:p>
    <w:p w14:paraId="46357BF9" w14:textId="77777777" w:rsidR="00F413FB" w:rsidRPr="00DE429D" w:rsidRDefault="00F413FB" w:rsidP="00F413F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3431A2">
        <w:rPr>
          <w:rFonts w:ascii="Constantia" w:hAnsi="Constantia" w:cstheme="minorHAnsi"/>
          <w:lang w:eastAsia="en-US"/>
        </w:rPr>
        <w:t>Az Önkormányzat, mint a bérlő az EVAT Zrt. jelöli ki üzemeltetésre, megbízási szerződéssel.</w:t>
      </w:r>
    </w:p>
    <w:p w14:paraId="0CE1D5DA" w14:textId="77777777" w:rsidR="00F413FB" w:rsidRPr="00DE429D" w:rsidRDefault="00F413FB" w:rsidP="00F413F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DE429D">
        <w:rPr>
          <w:rFonts w:ascii="Constantia" w:hAnsi="Constantia" w:cstheme="minorHAnsi"/>
          <w:lang w:eastAsia="en-US"/>
        </w:rPr>
        <w:t xml:space="preserve">Az </w:t>
      </w:r>
      <w:proofErr w:type="spellStart"/>
      <w:r w:rsidRPr="00DE429D">
        <w:rPr>
          <w:rFonts w:ascii="Constantia" w:hAnsi="Constantia" w:cstheme="minorHAnsi"/>
          <w:lang w:eastAsia="en-US"/>
        </w:rPr>
        <w:t>Agria</w:t>
      </w:r>
      <w:proofErr w:type="spellEnd"/>
      <w:r w:rsidRPr="00DE429D">
        <w:rPr>
          <w:rFonts w:ascii="Constantia" w:hAnsi="Constantia" w:cstheme="minorHAnsi"/>
          <w:lang w:eastAsia="en-US"/>
        </w:rPr>
        <w:t xml:space="preserve"> Parkoló Kft a bérleti futamidő alatt vételi jogot biztosít az önkormányzatnak vagy az általa kijelölésre kerülő 100% önkormányzati tulajdonú cégének.</w:t>
      </w:r>
    </w:p>
    <w:p w14:paraId="4ED5D03B" w14:textId="77777777" w:rsidR="00F413FB" w:rsidRPr="00DE429D" w:rsidRDefault="00F413FB" w:rsidP="00F413FB">
      <w:pPr>
        <w:numPr>
          <w:ilvl w:val="1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DE429D">
        <w:rPr>
          <w:rFonts w:ascii="Constantia" w:hAnsi="Constantia" w:cstheme="minorHAnsi"/>
          <w:lang w:eastAsia="en-US"/>
        </w:rPr>
        <w:t xml:space="preserve">Az ingatlan induló vételára a szerződéskötéskor nettó </w:t>
      </w:r>
      <w:proofErr w:type="gramStart"/>
      <w:r w:rsidRPr="00DE429D">
        <w:rPr>
          <w:rFonts w:ascii="Constantia" w:hAnsi="Constantia" w:cstheme="minorHAnsi"/>
          <w:lang w:eastAsia="en-US"/>
        </w:rPr>
        <w:t>949.000.000,-</w:t>
      </w:r>
      <w:proofErr w:type="gramEnd"/>
      <w:r w:rsidRPr="00DE429D">
        <w:rPr>
          <w:rFonts w:ascii="Constantia" w:hAnsi="Constantia" w:cstheme="minorHAnsi"/>
          <w:lang w:eastAsia="en-US"/>
        </w:rPr>
        <w:t>Ft.</w:t>
      </w:r>
    </w:p>
    <w:p w14:paraId="7BA23E92" w14:textId="77777777" w:rsidR="00F413FB" w:rsidRPr="003431A2" w:rsidRDefault="00F413FB" w:rsidP="00F413FB">
      <w:pPr>
        <w:numPr>
          <w:ilvl w:val="1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3431A2">
        <w:rPr>
          <w:rFonts w:ascii="Constantia" w:hAnsi="Constantia" w:cstheme="minorHAnsi"/>
          <w:lang w:eastAsia="en-US"/>
        </w:rPr>
        <w:t>Az ingatlanra vonatkozó vételi jogot bérlő a szerződéskötés évforduló napjait megelőző 1. és 60. nap között gyakorolhatja (minden év 05.31-ig).</w:t>
      </w:r>
    </w:p>
    <w:p w14:paraId="1A4770C3" w14:textId="77777777" w:rsidR="00F413FB" w:rsidRPr="003431A2" w:rsidRDefault="00F413FB" w:rsidP="00F413FB">
      <w:pPr>
        <w:numPr>
          <w:ilvl w:val="1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3431A2">
        <w:rPr>
          <w:rFonts w:ascii="Constantia" w:hAnsi="Constantia" w:cstheme="minorHAnsi"/>
          <w:lang w:eastAsia="en-US"/>
        </w:rPr>
        <w:t xml:space="preserve">A vételár a szerződéskötés évfordulóját követő napon (06.02-án) </w:t>
      </w:r>
      <w:proofErr w:type="spellStart"/>
      <w:r w:rsidRPr="003431A2">
        <w:rPr>
          <w:rFonts w:ascii="Constantia" w:hAnsi="Constantia" w:cstheme="minorHAnsi"/>
          <w:lang w:eastAsia="en-US"/>
        </w:rPr>
        <w:t>indexálódik</w:t>
      </w:r>
      <w:proofErr w:type="spellEnd"/>
      <w:r w:rsidRPr="003431A2">
        <w:rPr>
          <w:rFonts w:ascii="Constantia" w:hAnsi="Constantia" w:cstheme="minorHAnsi"/>
          <w:lang w:eastAsia="en-US"/>
        </w:rPr>
        <w:t>, az előző évi KSH szerinti infláció mértékével (első alkalommal 2024.06.02-én).</w:t>
      </w:r>
    </w:p>
    <w:p w14:paraId="41BD96EC" w14:textId="77777777" w:rsidR="00F413FB" w:rsidRPr="003431A2" w:rsidRDefault="00F413FB" w:rsidP="00F413FB">
      <w:pPr>
        <w:numPr>
          <w:ilvl w:val="1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3431A2">
        <w:rPr>
          <w:rFonts w:ascii="Constantia" w:hAnsi="Constantia" w:cstheme="minorHAnsi"/>
          <w:lang w:eastAsia="en-US"/>
        </w:rPr>
        <w:t xml:space="preserve">A vételi jog gyakorlása esetére az </w:t>
      </w:r>
      <w:proofErr w:type="spellStart"/>
      <w:r w:rsidRPr="003431A2">
        <w:rPr>
          <w:rFonts w:ascii="Constantia" w:hAnsi="Constantia" w:cstheme="minorHAnsi"/>
          <w:lang w:eastAsia="en-US"/>
        </w:rPr>
        <w:t>Agria</w:t>
      </w:r>
      <w:proofErr w:type="spellEnd"/>
      <w:r w:rsidRPr="003431A2">
        <w:rPr>
          <w:rFonts w:ascii="Constantia" w:hAnsi="Constantia" w:cstheme="minorHAnsi"/>
          <w:lang w:eastAsia="en-US"/>
        </w:rPr>
        <w:t xml:space="preserve"> Parkoló Kft, egyoldalú engedményt biztosít a vétel napjáig kifizetett összes nettó bérleti díj </w:t>
      </w:r>
      <w:r w:rsidRPr="003431A2">
        <w:rPr>
          <w:rFonts w:ascii="Constantia" w:hAnsi="Constantia" w:cstheme="minorHAnsi"/>
          <w:b/>
          <w:bCs/>
          <w:lang w:eastAsia="en-US"/>
        </w:rPr>
        <w:t>30%-</w:t>
      </w:r>
      <w:proofErr w:type="spellStart"/>
      <w:r w:rsidRPr="003431A2">
        <w:rPr>
          <w:rFonts w:ascii="Constantia" w:hAnsi="Constantia" w:cstheme="minorHAnsi"/>
          <w:b/>
          <w:bCs/>
          <w:lang w:eastAsia="en-US"/>
        </w:rPr>
        <w:t>ával</w:t>
      </w:r>
      <w:proofErr w:type="spellEnd"/>
      <w:r w:rsidRPr="003431A2">
        <w:rPr>
          <w:rFonts w:ascii="Constantia" w:hAnsi="Constantia" w:cstheme="minorHAnsi"/>
          <w:lang w:eastAsia="en-US"/>
        </w:rPr>
        <w:t xml:space="preserve"> megegyező összegben, amely összeg a vételár teljesítésébe beszámít.</w:t>
      </w:r>
    </w:p>
    <w:p w14:paraId="2153AA69" w14:textId="77777777" w:rsidR="00F413FB" w:rsidRPr="003431A2" w:rsidRDefault="00F413FB" w:rsidP="00F413FB">
      <w:pPr>
        <w:numPr>
          <w:ilvl w:val="1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3431A2">
        <w:rPr>
          <w:rFonts w:ascii="Constantia" w:hAnsi="Constantia" w:cstheme="minorHAnsi"/>
          <w:lang w:eastAsia="en-US"/>
        </w:rPr>
        <w:t>A vételi jog gyakorlása esetén a felek közös megegyezéssel külön megállapodhatnak, hogy a vételár részben csereingatlannal kerül teljesítésre.</w:t>
      </w:r>
    </w:p>
    <w:p w14:paraId="21BD4D59" w14:textId="77777777" w:rsidR="00F413FB" w:rsidRPr="003431A2" w:rsidRDefault="00F413FB" w:rsidP="00F413FB">
      <w:pPr>
        <w:numPr>
          <w:ilvl w:val="1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3431A2">
        <w:rPr>
          <w:rFonts w:ascii="Constantia" w:hAnsi="Constantia" w:cstheme="minorHAnsi"/>
          <w:lang w:eastAsia="en-US"/>
        </w:rPr>
        <w:t xml:space="preserve">Az </w:t>
      </w:r>
      <w:proofErr w:type="spellStart"/>
      <w:r w:rsidRPr="003431A2">
        <w:rPr>
          <w:rFonts w:ascii="Constantia" w:hAnsi="Constantia" w:cstheme="minorHAnsi"/>
          <w:lang w:eastAsia="en-US"/>
        </w:rPr>
        <w:t>Agria</w:t>
      </w:r>
      <w:proofErr w:type="spellEnd"/>
      <w:r w:rsidRPr="003431A2">
        <w:rPr>
          <w:rFonts w:ascii="Constantia" w:hAnsi="Constantia" w:cstheme="minorHAnsi"/>
          <w:lang w:eastAsia="en-US"/>
        </w:rPr>
        <w:t xml:space="preserve"> Parkoló Kft az ingatlan feletti tulajdonát a vételár teljes kiegyenlítéséig fenntartja.</w:t>
      </w:r>
    </w:p>
    <w:p w14:paraId="764D0294" w14:textId="77777777" w:rsidR="00F413FB" w:rsidRPr="003431A2" w:rsidRDefault="00F413FB" w:rsidP="00F413FB">
      <w:pPr>
        <w:numPr>
          <w:ilvl w:val="1"/>
          <w:numId w:val="3"/>
        </w:numPr>
        <w:spacing w:after="160" w:line="256" w:lineRule="auto"/>
        <w:contextualSpacing/>
        <w:jc w:val="both"/>
        <w:rPr>
          <w:rFonts w:ascii="Constantia" w:hAnsi="Constantia" w:cstheme="minorHAnsi"/>
          <w:lang w:eastAsia="en-US"/>
        </w:rPr>
      </w:pPr>
      <w:r w:rsidRPr="003431A2">
        <w:rPr>
          <w:rFonts w:ascii="Constantia" w:hAnsi="Constantia" w:cstheme="minorHAnsi"/>
          <w:lang w:eastAsia="en-US"/>
        </w:rPr>
        <w:t>Az adásvétel értékéből eredő adó és illetékfizetési kockázat a vevőt terheli.</w:t>
      </w:r>
    </w:p>
    <w:p w14:paraId="0368F143" w14:textId="77777777" w:rsidR="00F413FB" w:rsidRDefault="00F413FB" w:rsidP="00F413FB">
      <w:pPr>
        <w:jc w:val="both"/>
        <w:rPr>
          <w:rFonts w:ascii="Constantia" w:eastAsiaTheme="minorHAnsi" w:hAnsi="Constantia" w:cs="Constantia"/>
          <w:lang w:eastAsia="en-US"/>
        </w:rPr>
      </w:pPr>
    </w:p>
    <w:p w14:paraId="02645D81" w14:textId="4E976A59" w:rsidR="00F413FB" w:rsidRDefault="00DE429D" w:rsidP="00DE429D">
      <w:pPr>
        <w:jc w:val="both"/>
        <w:rPr>
          <w:rFonts w:ascii="Constantia" w:eastAsiaTheme="minorHAnsi" w:hAnsi="Constantia" w:cs="Constantia"/>
          <w:lang w:eastAsia="en-US"/>
        </w:rPr>
      </w:pPr>
      <w:r>
        <w:rPr>
          <w:rFonts w:ascii="Constantia" w:eastAsiaTheme="minorHAnsi" w:hAnsi="Constantia" w:cs="Constantia"/>
          <w:lang w:eastAsia="en-US"/>
        </w:rPr>
        <w:t xml:space="preserve">Ezek a közgyűlési határozatok szolgálhatnak kiindulópontként </w:t>
      </w:r>
      <w:bookmarkEnd w:id="1"/>
      <w:r>
        <w:rPr>
          <w:rFonts w:ascii="Constantia" w:eastAsiaTheme="minorHAnsi" w:hAnsi="Constantia" w:cs="Constantia"/>
          <w:lang w:eastAsia="en-US"/>
        </w:rPr>
        <w:t>a bizottság által lefolytatandó vizsgálathoz, melynek módszertanát, tárgyköreit az első bizottsági ülésen szükséges lefektetnünk.</w:t>
      </w:r>
    </w:p>
    <w:p w14:paraId="7D2C6ECE" w14:textId="77777777" w:rsidR="00DE429D" w:rsidRDefault="00DE429D" w:rsidP="00DE429D">
      <w:pPr>
        <w:jc w:val="both"/>
        <w:rPr>
          <w:rFonts w:ascii="Constantia" w:eastAsiaTheme="minorHAnsi" w:hAnsi="Constantia" w:cs="Constantia"/>
          <w:lang w:eastAsia="en-US"/>
        </w:rPr>
      </w:pPr>
    </w:p>
    <w:p w14:paraId="264A3A46" w14:textId="1F6B6AAD" w:rsidR="00DE429D" w:rsidRDefault="00DE429D" w:rsidP="00DE429D">
      <w:pPr>
        <w:jc w:val="both"/>
        <w:rPr>
          <w:rFonts w:ascii="Constantia" w:eastAsiaTheme="minorHAnsi" w:hAnsi="Constantia" w:cs="Constantia"/>
          <w:lang w:eastAsia="en-US"/>
        </w:rPr>
      </w:pPr>
      <w:r>
        <w:rPr>
          <w:rFonts w:ascii="Constantia" w:eastAsiaTheme="minorHAnsi" w:hAnsi="Constantia" w:cs="Constantia"/>
          <w:lang w:eastAsia="en-US"/>
        </w:rPr>
        <w:t>Eger, 2023. július 3.</w:t>
      </w:r>
    </w:p>
    <w:p w14:paraId="42543D81" w14:textId="77777777" w:rsidR="00DE429D" w:rsidRDefault="00DE429D" w:rsidP="00DE429D">
      <w:pPr>
        <w:jc w:val="both"/>
        <w:rPr>
          <w:rFonts w:ascii="Constantia" w:eastAsiaTheme="minorHAnsi" w:hAnsi="Constantia" w:cs="Constantia"/>
          <w:lang w:eastAsia="en-US"/>
        </w:rPr>
      </w:pPr>
    </w:p>
    <w:p w14:paraId="07128C76" w14:textId="77777777" w:rsidR="00DE429D" w:rsidRDefault="00DE429D" w:rsidP="00DE429D">
      <w:pPr>
        <w:jc w:val="both"/>
        <w:rPr>
          <w:rFonts w:ascii="Constantia" w:eastAsiaTheme="minorHAnsi" w:hAnsi="Constantia" w:cs="Constantia"/>
          <w:lang w:eastAsia="en-US"/>
        </w:rPr>
      </w:pPr>
    </w:p>
    <w:p w14:paraId="28FD9A44" w14:textId="77777777" w:rsidR="00DE429D" w:rsidRDefault="00DE429D" w:rsidP="00DE429D">
      <w:pPr>
        <w:jc w:val="both"/>
        <w:rPr>
          <w:rFonts w:ascii="Constantia" w:eastAsiaTheme="minorHAnsi" w:hAnsi="Constantia" w:cs="Constantia"/>
          <w:lang w:eastAsia="en-US"/>
        </w:rPr>
      </w:pPr>
    </w:p>
    <w:p w14:paraId="2AB2D5DD" w14:textId="3B0D8DD2" w:rsidR="00DE429D" w:rsidRPr="00DE429D" w:rsidRDefault="00DE429D" w:rsidP="00DE429D">
      <w:pPr>
        <w:jc w:val="center"/>
        <w:rPr>
          <w:rFonts w:ascii="Constantia" w:eastAsiaTheme="minorHAnsi" w:hAnsi="Constantia" w:cs="Constantia"/>
          <w:b/>
          <w:bCs/>
          <w:lang w:eastAsia="en-US"/>
        </w:rPr>
      </w:pPr>
      <w:r w:rsidRPr="00DE429D">
        <w:rPr>
          <w:rFonts w:ascii="Constantia" w:eastAsiaTheme="minorHAnsi" w:hAnsi="Constantia" w:cs="Constantia"/>
          <w:b/>
          <w:bCs/>
          <w:lang w:eastAsia="en-US"/>
        </w:rPr>
        <w:t>Sós Tamás</w:t>
      </w:r>
    </w:p>
    <w:p w14:paraId="1E67F5EF" w14:textId="5E87A79B" w:rsidR="00DE429D" w:rsidRPr="00DE429D" w:rsidRDefault="00DE429D" w:rsidP="00DE429D">
      <w:pPr>
        <w:jc w:val="center"/>
        <w:rPr>
          <w:rFonts w:ascii="Constantia" w:eastAsiaTheme="minorHAnsi" w:hAnsi="Constantia" w:cs="Constantia"/>
          <w:lang w:eastAsia="en-US"/>
        </w:rPr>
      </w:pPr>
      <w:r>
        <w:rPr>
          <w:rFonts w:ascii="Constantia" w:eastAsiaTheme="minorHAnsi" w:hAnsi="Constantia" w:cs="Constantia"/>
          <w:lang w:eastAsia="en-US"/>
        </w:rPr>
        <w:t>Városgazdálkodási Bizottság Elnöke</w:t>
      </w:r>
    </w:p>
    <w:p w14:paraId="1348E972" w14:textId="77777777" w:rsidR="00F413FB" w:rsidRDefault="00F413FB"/>
    <w:sectPr w:rsidR="00F4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685A"/>
    <w:multiLevelType w:val="hybridMultilevel"/>
    <w:tmpl w:val="C8F4E5E4"/>
    <w:lvl w:ilvl="0" w:tplc="E7BCA426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D3235"/>
    <w:multiLevelType w:val="hybridMultilevel"/>
    <w:tmpl w:val="CF4C3ED2"/>
    <w:lvl w:ilvl="0" w:tplc="69B8330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263E3"/>
    <w:multiLevelType w:val="hybridMultilevel"/>
    <w:tmpl w:val="5A561CC2"/>
    <w:lvl w:ilvl="0" w:tplc="48766060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56F4A"/>
    <w:multiLevelType w:val="hybridMultilevel"/>
    <w:tmpl w:val="3B9C6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B327C"/>
    <w:multiLevelType w:val="hybridMultilevel"/>
    <w:tmpl w:val="EE000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91CA5"/>
    <w:multiLevelType w:val="multilevel"/>
    <w:tmpl w:val="1A26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297393">
    <w:abstractNumId w:val="5"/>
  </w:num>
  <w:num w:numId="2" w16cid:durableId="1847288348">
    <w:abstractNumId w:val="3"/>
  </w:num>
  <w:num w:numId="3" w16cid:durableId="264273354">
    <w:abstractNumId w:val="4"/>
  </w:num>
  <w:num w:numId="4" w16cid:durableId="681977735">
    <w:abstractNumId w:val="1"/>
  </w:num>
  <w:num w:numId="5" w16cid:durableId="2140875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502767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FB"/>
    <w:rsid w:val="00200B80"/>
    <w:rsid w:val="00857016"/>
    <w:rsid w:val="00881191"/>
    <w:rsid w:val="00DE429D"/>
    <w:rsid w:val="00F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F778"/>
  <w15:chartTrackingRefBased/>
  <w15:docId w15:val="{B9ADB85D-DDED-4BBD-8C04-9484F2AC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413FB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F413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413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qFormat/>
    <w:rsid w:val="00F413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,Char1"/>
    <w:basedOn w:val="Norml"/>
    <w:link w:val="SzvegtrzsChar1"/>
    <w:rsid w:val="00F413FB"/>
    <w:pPr>
      <w:overflowPunct w:val="0"/>
      <w:autoSpaceDE w:val="0"/>
      <w:autoSpaceDN w:val="0"/>
      <w:adjustRightInd w:val="0"/>
      <w:ind w:right="7200"/>
      <w:jc w:val="both"/>
      <w:textAlignment w:val="baseline"/>
    </w:pPr>
    <w:rPr>
      <w:rFonts w:ascii="Arial" w:hAnsi="Arial"/>
      <w:i/>
      <w:szCs w:val="20"/>
    </w:rPr>
  </w:style>
  <w:style w:type="character" w:customStyle="1" w:styleId="SzvegtrzsChar">
    <w:name w:val="Szövegtörzs Char"/>
    <w:basedOn w:val="Bekezdsalapbettpusa"/>
    <w:uiPriority w:val="99"/>
    <w:semiHidden/>
    <w:rsid w:val="00F413F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aliases w:val="normabeh Char,Char1 Char1"/>
    <w:link w:val="Szvegtrzs"/>
    <w:rsid w:val="00F413FB"/>
    <w:rPr>
      <w:rFonts w:ascii="Arial" w:eastAsia="Times New Roman" w:hAnsi="Arial" w:cs="Times New Roman"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F413F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946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Bánhidy Péter</dc:creator>
  <cp:keywords/>
  <dc:description/>
  <cp:lastModifiedBy>Dr. Bánhidy Péter</cp:lastModifiedBy>
  <cp:revision>1</cp:revision>
  <dcterms:created xsi:type="dcterms:W3CDTF">2023-07-03T04:43:00Z</dcterms:created>
  <dcterms:modified xsi:type="dcterms:W3CDTF">2023-07-03T05:00:00Z</dcterms:modified>
</cp:coreProperties>
</file>