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969B9" w14:textId="5229AA7E" w:rsidR="0094518D" w:rsidRDefault="00EE53A2" w:rsidP="0094518D">
      <w:pPr>
        <w:rPr>
          <w:rFonts w:ascii="Garamond" w:hAnsi="Garamond"/>
        </w:rPr>
      </w:pPr>
      <w:r>
        <w:rPr>
          <w:noProof/>
        </w:rPr>
        <w:drawing>
          <wp:inline distT="0" distB="0" distL="0" distR="0" wp14:anchorId="14450F85" wp14:editId="73867335">
            <wp:extent cx="5760085" cy="817880"/>
            <wp:effectExtent l="0" t="0" r="0" b="1270"/>
            <wp:docPr id="1686740938"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085" cy="817880"/>
                    </a:xfrm>
                    <a:prstGeom prst="rect">
                      <a:avLst/>
                    </a:prstGeom>
                    <a:noFill/>
                    <a:ln>
                      <a:noFill/>
                    </a:ln>
                  </pic:spPr>
                </pic:pic>
              </a:graphicData>
            </a:graphic>
          </wp:inline>
        </w:drawing>
      </w:r>
    </w:p>
    <w:p w14:paraId="3EF9B845" w14:textId="77777777" w:rsidR="0094518D" w:rsidRDefault="0094518D" w:rsidP="0094518D">
      <w:pPr>
        <w:pStyle w:val="xl43"/>
        <w:pBdr>
          <w:left w:val="none" w:sz="0" w:space="0" w:color="auto"/>
          <w:bottom w:val="none" w:sz="0" w:space="0" w:color="auto"/>
          <w:right w:val="none" w:sz="0" w:space="0" w:color="auto"/>
        </w:pBdr>
        <w:spacing w:before="0" w:beforeAutospacing="0" w:after="0" w:afterAutospacing="0"/>
        <w:jc w:val="left"/>
      </w:pPr>
    </w:p>
    <w:p w14:paraId="0D1F15A6" w14:textId="77777777" w:rsidR="0094518D" w:rsidRPr="00412D82" w:rsidRDefault="0094518D" w:rsidP="0094518D">
      <w:pPr>
        <w:pStyle w:val="xl43"/>
        <w:pBdr>
          <w:left w:val="none" w:sz="0" w:space="0" w:color="auto"/>
          <w:bottom w:val="none" w:sz="0" w:space="0" w:color="auto"/>
          <w:right w:val="none" w:sz="0" w:space="0" w:color="auto"/>
        </w:pBdr>
        <w:spacing w:before="0" w:beforeAutospacing="0" w:after="0" w:afterAutospacing="0"/>
        <w:rPr>
          <w:rFonts w:ascii="Garamond" w:eastAsia="Times New Roman" w:hAnsi="Garamond"/>
        </w:rPr>
      </w:pPr>
      <w:r w:rsidRPr="00C546C4">
        <w:t>_____napirend</w:t>
      </w:r>
    </w:p>
    <w:p w14:paraId="7C8E27F7" w14:textId="77777777" w:rsidR="005B36B5" w:rsidRDefault="005B36B5" w:rsidP="00A129E2">
      <w:pPr>
        <w:tabs>
          <w:tab w:val="left" w:pos="284"/>
          <w:tab w:val="left" w:pos="567"/>
          <w:tab w:val="left" w:pos="5670"/>
        </w:tabs>
        <w:rPr>
          <w:rFonts w:ascii="Constantia" w:hAnsi="Constantia"/>
          <w:b/>
        </w:rPr>
      </w:pPr>
    </w:p>
    <w:p w14:paraId="2DDB3CBD" w14:textId="77777777" w:rsidR="00D72EC4" w:rsidRPr="00015C86" w:rsidRDefault="00D72EC4" w:rsidP="00A129E2">
      <w:pPr>
        <w:tabs>
          <w:tab w:val="left" w:pos="284"/>
          <w:tab w:val="left" w:pos="567"/>
          <w:tab w:val="left" w:pos="5670"/>
        </w:tabs>
        <w:rPr>
          <w:rFonts w:ascii="Constantia" w:hAnsi="Constantia"/>
          <w:b/>
        </w:rPr>
      </w:pPr>
    </w:p>
    <w:p w14:paraId="3EA2EAAD" w14:textId="77777777" w:rsidR="005B36B5" w:rsidRPr="00015C86" w:rsidRDefault="005B36B5" w:rsidP="0094518D">
      <w:pPr>
        <w:tabs>
          <w:tab w:val="left" w:pos="284"/>
          <w:tab w:val="left" w:pos="567"/>
          <w:tab w:val="left" w:pos="5670"/>
        </w:tabs>
        <w:jc w:val="center"/>
        <w:rPr>
          <w:rFonts w:ascii="Constantia" w:hAnsi="Constantia"/>
          <w:b/>
        </w:rPr>
      </w:pPr>
    </w:p>
    <w:p w14:paraId="0B11D0C8" w14:textId="517BA82F" w:rsidR="00331EBA" w:rsidRPr="0076719E" w:rsidRDefault="00534DDC" w:rsidP="0076719E">
      <w:pPr>
        <w:tabs>
          <w:tab w:val="left" w:pos="284"/>
          <w:tab w:val="left" w:pos="567"/>
          <w:tab w:val="left" w:pos="5670"/>
        </w:tabs>
        <w:jc w:val="center"/>
        <w:rPr>
          <w:rFonts w:ascii="Constantia" w:hAnsi="Constantia"/>
          <w:b/>
        </w:rPr>
      </w:pPr>
      <w:r>
        <w:rPr>
          <w:rFonts w:ascii="Constantia" w:hAnsi="Constantia"/>
          <w:b/>
        </w:rPr>
        <w:t>TÁJÉKOZTATÓ</w:t>
      </w:r>
    </w:p>
    <w:p w14:paraId="58F9BB40" w14:textId="0FF00531" w:rsidR="0076719E" w:rsidRDefault="00D44B23" w:rsidP="00F40300">
      <w:pPr>
        <w:jc w:val="center"/>
        <w:rPr>
          <w:rFonts w:ascii="Constantia" w:hAnsi="Constantia"/>
          <w:b/>
        </w:rPr>
      </w:pPr>
      <w:r w:rsidRPr="00D44B23">
        <w:rPr>
          <w:rFonts w:ascii="Constantia" w:hAnsi="Constantia"/>
          <w:b/>
          <w:bCs/>
        </w:rPr>
        <w:t xml:space="preserve">az EVAT Zrt. 2024. </w:t>
      </w:r>
      <w:r w:rsidR="00CA23E8">
        <w:rPr>
          <w:rFonts w:ascii="Constantia" w:hAnsi="Constantia"/>
          <w:b/>
          <w:bCs/>
        </w:rPr>
        <w:t>I</w:t>
      </w:r>
      <w:r w:rsidRPr="00D44B23">
        <w:rPr>
          <w:rFonts w:ascii="Constantia" w:hAnsi="Constantia"/>
          <w:b/>
          <w:bCs/>
        </w:rPr>
        <w:t>. -</w:t>
      </w:r>
      <w:r w:rsidR="00CA23E8">
        <w:rPr>
          <w:rFonts w:ascii="Constantia" w:hAnsi="Constantia"/>
          <w:b/>
          <w:bCs/>
        </w:rPr>
        <w:t>III</w:t>
      </w:r>
      <w:r w:rsidRPr="00D44B23">
        <w:rPr>
          <w:rFonts w:ascii="Constantia" w:hAnsi="Constantia"/>
          <w:b/>
          <w:bCs/>
        </w:rPr>
        <w:t>. negyedévi vagyoni helyzetéről</w:t>
      </w:r>
    </w:p>
    <w:p w14:paraId="31428F44" w14:textId="77777777" w:rsidR="00D72EC4" w:rsidRDefault="00D72EC4" w:rsidP="00F40300">
      <w:pPr>
        <w:jc w:val="center"/>
        <w:rPr>
          <w:rFonts w:ascii="Constantia" w:hAnsi="Constantia"/>
          <w:b/>
        </w:rPr>
      </w:pPr>
    </w:p>
    <w:p w14:paraId="7F917CEF" w14:textId="77777777" w:rsidR="00BF28AB" w:rsidRDefault="00BF28AB" w:rsidP="00F40300">
      <w:pPr>
        <w:jc w:val="center"/>
        <w:rPr>
          <w:rFonts w:ascii="Constantia" w:hAnsi="Constantia"/>
          <w:b/>
        </w:rPr>
      </w:pPr>
    </w:p>
    <w:p w14:paraId="0B72D23E" w14:textId="77777777" w:rsidR="0076719E" w:rsidRPr="0076719E" w:rsidRDefault="0076719E" w:rsidP="00F40300">
      <w:pPr>
        <w:jc w:val="center"/>
        <w:rPr>
          <w:rFonts w:ascii="Constantia" w:hAnsi="Constantia"/>
          <w:b/>
          <w:i/>
          <w:u w:val="single"/>
        </w:rPr>
      </w:pPr>
      <w:r w:rsidRPr="0076719E">
        <w:rPr>
          <w:rFonts w:ascii="Constantia" w:hAnsi="Constantia"/>
          <w:b/>
          <w:i/>
        </w:rPr>
        <w:t>Tisztelt Közgyűlés!</w:t>
      </w:r>
    </w:p>
    <w:p w14:paraId="4EF839E9" w14:textId="77777777" w:rsidR="00BF28AB" w:rsidRDefault="00BF28AB" w:rsidP="0094518D">
      <w:pPr>
        <w:jc w:val="both"/>
        <w:rPr>
          <w:rFonts w:ascii="Constantia" w:hAnsi="Constantia"/>
        </w:rPr>
      </w:pPr>
    </w:p>
    <w:p w14:paraId="38B74A6F" w14:textId="7352C6C7" w:rsidR="008644E1" w:rsidRDefault="008644E1" w:rsidP="00D44B23">
      <w:pPr>
        <w:jc w:val="both"/>
        <w:rPr>
          <w:rFonts w:ascii="Constantia" w:hAnsi="Constantia"/>
        </w:rPr>
      </w:pPr>
      <w:r w:rsidRPr="00576381">
        <w:rPr>
          <w:rFonts w:ascii="Constantia" w:hAnsi="Constantia"/>
        </w:rPr>
        <w:t>Az önkormányzat vagyonáról és a vagyongazdálkodásról szóló 3</w:t>
      </w:r>
      <w:r w:rsidR="00576381" w:rsidRPr="00576381">
        <w:rPr>
          <w:rFonts w:ascii="Constantia" w:hAnsi="Constantia"/>
        </w:rPr>
        <w:t>3</w:t>
      </w:r>
      <w:r w:rsidRPr="00576381">
        <w:rPr>
          <w:rFonts w:ascii="Constantia" w:hAnsi="Constantia"/>
        </w:rPr>
        <w:t>/20</w:t>
      </w:r>
      <w:r w:rsidR="00576381" w:rsidRPr="00576381">
        <w:rPr>
          <w:rFonts w:ascii="Constantia" w:hAnsi="Constantia"/>
        </w:rPr>
        <w:t>22</w:t>
      </w:r>
      <w:r w:rsidRPr="00576381">
        <w:rPr>
          <w:rFonts w:ascii="Constantia" w:hAnsi="Constantia"/>
        </w:rPr>
        <w:t>.(X</w:t>
      </w:r>
      <w:r w:rsidR="00576381" w:rsidRPr="00576381">
        <w:rPr>
          <w:rFonts w:ascii="Constantia" w:hAnsi="Constantia"/>
        </w:rPr>
        <w:t>I</w:t>
      </w:r>
      <w:r w:rsidRPr="00576381">
        <w:rPr>
          <w:rFonts w:ascii="Constantia" w:hAnsi="Constantia"/>
        </w:rPr>
        <w:t>.</w:t>
      </w:r>
      <w:r w:rsidR="00576381" w:rsidRPr="00576381">
        <w:rPr>
          <w:rFonts w:ascii="Constantia" w:hAnsi="Constantia"/>
        </w:rPr>
        <w:t>25</w:t>
      </w:r>
      <w:r w:rsidRPr="00576381">
        <w:rPr>
          <w:rFonts w:ascii="Constantia" w:hAnsi="Constantia"/>
        </w:rPr>
        <w:t>.) önkormányzati rendelet 4</w:t>
      </w:r>
      <w:r w:rsidR="00576381" w:rsidRPr="00576381">
        <w:rPr>
          <w:rFonts w:ascii="Constantia" w:hAnsi="Constantia"/>
        </w:rPr>
        <w:t>1</w:t>
      </w:r>
      <w:r w:rsidRPr="00576381">
        <w:rPr>
          <w:rFonts w:ascii="Constantia" w:hAnsi="Constantia"/>
        </w:rPr>
        <w:t>. § (</w:t>
      </w:r>
      <w:r w:rsidR="00D44B23">
        <w:rPr>
          <w:rFonts w:ascii="Constantia" w:hAnsi="Constantia"/>
        </w:rPr>
        <w:t>8</w:t>
      </w:r>
      <w:r w:rsidRPr="00576381">
        <w:rPr>
          <w:rFonts w:ascii="Constantia" w:hAnsi="Constantia"/>
        </w:rPr>
        <w:t>) bekezdés alapján</w:t>
      </w:r>
      <w:r w:rsidR="00D44B23">
        <w:rPr>
          <w:rFonts w:ascii="Constantia" w:hAnsi="Constantia"/>
        </w:rPr>
        <w:t>:</w:t>
      </w:r>
    </w:p>
    <w:p w14:paraId="35594D3B" w14:textId="64D97337" w:rsidR="00D44B23" w:rsidRPr="00576381" w:rsidRDefault="00D44B23" w:rsidP="00D44B23">
      <w:pPr>
        <w:jc w:val="both"/>
        <w:rPr>
          <w:rFonts w:ascii="Constantia" w:hAnsi="Constantia"/>
          <w:i/>
        </w:rPr>
      </w:pPr>
      <w:r>
        <w:rPr>
          <w:rFonts w:ascii="Constantia" w:hAnsi="Constantia"/>
          <w:i/>
        </w:rPr>
        <w:t>„</w:t>
      </w:r>
      <w:r w:rsidRPr="00D44B23">
        <w:rPr>
          <w:rFonts w:ascii="Constantia" w:hAnsi="Constantia"/>
          <w:i/>
        </w:rPr>
        <w:t>(8) Az EVAT Egri Vagyonkezelő és Távfűtő Zártkörűen Működő Részvénytársaság vezérigazgatója, mint vezető tisztségviselő a társaság vagyoni helyzetéről legalább háromhavonta a Közgyűlés részére jelentést készít.</w:t>
      </w:r>
      <w:r>
        <w:rPr>
          <w:rFonts w:ascii="Constantia" w:hAnsi="Constantia"/>
          <w:i/>
        </w:rPr>
        <w:t>”</w:t>
      </w:r>
    </w:p>
    <w:p w14:paraId="6AAF534C" w14:textId="77777777" w:rsidR="00015C86" w:rsidRPr="00074C36" w:rsidRDefault="00015C86" w:rsidP="00015C86">
      <w:pPr>
        <w:jc w:val="both"/>
        <w:rPr>
          <w:rFonts w:ascii="Constantia" w:hAnsi="Constantia"/>
          <w:color w:val="FF0000"/>
        </w:rPr>
      </w:pPr>
    </w:p>
    <w:p w14:paraId="631B75AE" w14:textId="1E53D690" w:rsidR="00015C86" w:rsidRDefault="00D44B23" w:rsidP="00F40300">
      <w:pPr>
        <w:jc w:val="both"/>
        <w:rPr>
          <w:rFonts w:ascii="Constantia" w:hAnsi="Constantia"/>
        </w:rPr>
      </w:pPr>
      <w:r w:rsidRPr="009A5795">
        <w:rPr>
          <w:rFonts w:ascii="Constantia" w:hAnsi="Constantia"/>
        </w:rPr>
        <w:t>Az EVAT Zrt. 1991. augusztus 1-jén alakult részvénytársasági formában az Egri Ingatlankezelő Közvetítő és Lakásberuházó Vállalat jogutódjaként. 2001. november 26-án a tulajdonosi szerkezet átalakult 100%-ban önkormányzati tulajdonná.</w:t>
      </w:r>
    </w:p>
    <w:p w14:paraId="53C924BD" w14:textId="0D807DC8" w:rsidR="00D44B23" w:rsidRPr="009A5795" w:rsidRDefault="00D44B23" w:rsidP="00D44B23">
      <w:pPr>
        <w:spacing w:before="240" w:after="240"/>
        <w:jc w:val="both"/>
        <w:rPr>
          <w:rFonts w:ascii="Constantia" w:hAnsi="Constantia"/>
          <w:color w:val="000000"/>
        </w:rPr>
      </w:pPr>
      <w:r w:rsidRPr="00D44B23">
        <w:rPr>
          <w:rFonts w:ascii="Constantia" w:hAnsi="Constantia"/>
          <w:bCs/>
          <w:color w:val="000000"/>
        </w:rPr>
        <w:t xml:space="preserve">Az </w:t>
      </w:r>
      <w:r w:rsidRPr="00D44B23">
        <w:rPr>
          <w:rFonts w:ascii="Constantia" w:hAnsi="Constantia"/>
          <w:bCs/>
        </w:rPr>
        <w:t>EVAT</w:t>
      </w:r>
      <w:r w:rsidRPr="00D44B23">
        <w:rPr>
          <w:rFonts w:ascii="Constantia" w:hAnsi="Constantia"/>
          <w:bCs/>
          <w:color w:val="000000"/>
        </w:rPr>
        <w:t xml:space="preserve"> Zrt. kiemelt tevékenységei Eger</w:t>
      </w:r>
      <w:r w:rsidRPr="009A5795">
        <w:rPr>
          <w:rFonts w:ascii="Constantia" w:hAnsi="Constantia"/>
          <w:color w:val="000000"/>
        </w:rPr>
        <w:t xml:space="preserve"> város területén a távhőszolgáltatás – fűtési és melegvíz célú hőenergia folyamatos és zavartalan – biztosítása</w:t>
      </w:r>
      <w:r w:rsidRPr="009A5795">
        <w:rPr>
          <w:rFonts w:ascii="Constantia" w:hAnsi="Constantia"/>
        </w:rPr>
        <w:t>, a hőtermelő létesítmények karbantartása és fejlesztése, annak érdekében, hogy a szolgáltatás a felhasználók számára biztonságos</w:t>
      </w:r>
      <w:r w:rsidRPr="009A5795">
        <w:rPr>
          <w:rFonts w:ascii="Constantia" w:hAnsi="Constantia"/>
          <w:color w:val="000000"/>
        </w:rPr>
        <w:t xml:space="preserve"> legyen</w:t>
      </w:r>
      <w:r>
        <w:rPr>
          <w:rFonts w:ascii="Constantia" w:hAnsi="Constantia"/>
          <w:color w:val="000000"/>
        </w:rPr>
        <w:t>, továbbá a v</w:t>
      </w:r>
      <w:r w:rsidRPr="009A5795">
        <w:rPr>
          <w:rFonts w:ascii="Constantia" w:hAnsi="Constantia"/>
        </w:rPr>
        <w:t>agyonkezelés:</w:t>
      </w:r>
      <w:r w:rsidRPr="009A5795">
        <w:rPr>
          <w:rFonts w:ascii="Constantia" w:hAnsi="Constantia"/>
          <w:color w:val="000000"/>
        </w:rPr>
        <w:t xml:space="preserve"> az önkormányzat és saját tulajdonú ingatlanok, egyéb vagyonelemek kezelésével, üzemeltetésével összefüggő feladatok. </w:t>
      </w:r>
    </w:p>
    <w:p w14:paraId="3E349119" w14:textId="56BA2375" w:rsidR="00D44B23" w:rsidRPr="00D44B23" w:rsidRDefault="00D44B23" w:rsidP="00D44B23">
      <w:pPr>
        <w:spacing w:before="240" w:after="240"/>
        <w:jc w:val="both"/>
        <w:rPr>
          <w:rFonts w:ascii="Constantia" w:hAnsi="Constantia"/>
          <w:bCs/>
          <w:color w:val="000000"/>
        </w:rPr>
      </w:pPr>
      <w:r w:rsidRPr="00D44B23">
        <w:rPr>
          <w:rFonts w:ascii="Constantia" w:hAnsi="Constantia"/>
          <w:bCs/>
          <w:color w:val="000000"/>
        </w:rPr>
        <w:t>A Társaság feladatait négy divízióba szervezve látja el az alábbiak szerint:</w:t>
      </w:r>
    </w:p>
    <w:p w14:paraId="01AF4194" w14:textId="77777777" w:rsidR="00D44B23" w:rsidRPr="009A5795" w:rsidRDefault="00D44B23" w:rsidP="00D44B23">
      <w:pPr>
        <w:numPr>
          <w:ilvl w:val="0"/>
          <w:numId w:val="11"/>
        </w:numPr>
        <w:spacing w:before="240"/>
        <w:ind w:left="0" w:firstLine="0"/>
        <w:jc w:val="both"/>
        <w:rPr>
          <w:rFonts w:ascii="Constantia" w:hAnsi="Constantia"/>
        </w:rPr>
      </w:pPr>
      <w:r w:rsidRPr="009A5795">
        <w:rPr>
          <w:rFonts w:ascii="Constantia" w:hAnsi="Constantia"/>
        </w:rPr>
        <w:t xml:space="preserve">A </w:t>
      </w:r>
      <w:r w:rsidRPr="009A5795">
        <w:rPr>
          <w:rFonts w:ascii="Constantia" w:hAnsi="Constantia"/>
          <w:i/>
        </w:rPr>
        <w:t>Távhő divízió</w:t>
      </w:r>
      <w:r w:rsidRPr="009A5795">
        <w:rPr>
          <w:rFonts w:ascii="Constantia" w:hAnsi="Constantia"/>
        </w:rPr>
        <w:t xml:space="preserve"> feladatkörébe tartozik a távhőszolgáltatás, ezen belül a fűtés és melegvíz szolgáltatás ellátása.</w:t>
      </w:r>
    </w:p>
    <w:p w14:paraId="3B7387E8" w14:textId="77777777" w:rsidR="00D44B23" w:rsidRPr="009A5795" w:rsidRDefault="00D44B23" w:rsidP="00D44B23">
      <w:pPr>
        <w:numPr>
          <w:ilvl w:val="0"/>
          <w:numId w:val="11"/>
        </w:numPr>
        <w:spacing w:before="120"/>
        <w:ind w:left="0" w:firstLine="0"/>
        <w:jc w:val="both"/>
        <w:rPr>
          <w:rFonts w:ascii="Constantia" w:hAnsi="Constantia"/>
          <w:b/>
        </w:rPr>
      </w:pPr>
      <w:r w:rsidRPr="009A5795">
        <w:rPr>
          <w:rFonts w:ascii="Constantia" w:hAnsi="Constantia"/>
        </w:rPr>
        <w:t xml:space="preserve">A </w:t>
      </w:r>
      <w:r w:rsidRPr="009A5795">
        <w:rPr>
          <w:rFonts w:ascii="Constantia" w:hAnsi="Constantia"/>
          <w:i/>
        </w:rPr>
        <w:t>Vagyongazdálkodási divízió</w:t>
      </w:r>
      <w:r w:rsidRPr="009A5795">
        <w:rPr>
          <w:rFonts w:ascii="Constantia" w:hAnsi="Constantia"/>
        </w:rPr>
        <w:t xml:space="preserve"> feladatkörébe tartozik az önkormányzati és saját tulajdonú ingatlanok, valamint egyéb vagyonelemek kezelésével, gazdálkodásával összefüggő feladatok. </w:t>
      </w:r>
    </w:p>
    <w:p w14:paraId="5A31B183" w14:textId="77777777" w:rsidR="00D44B23" w:rsidRPr="009A5795" w:rsidRDefault="00D44B23" w:rsidP="00D44B23">
      <w:pPr>
        <w:spacing w:before="120"/>
        <w:jc w:val="both"/>
        <w:rPr>
          <w:rFonts w:ascii="Constantia" w:hAnsi="Constantia"/>
        </w:rPr>
      </w:pPr>
      <w:r w:rsidRPr="009A5795">
        <w:rPr>
          <w:rFonts w:ascii="Constantia" w:hAnsi="Constantia"/>
        </w:rPr>
        <w:t xml:space="preserve">A tulajdonos megbízásából, a fizető parkolók-, parkolóházak-, a piaccsarnok üzemeltetése, a Szépasszonyvölgy fenntartási munkái, a város területén a rágcsálómentesítés biztosítása. </w:t>
      </w:r>
    </w:p>
    <w:p w14:paraId="3F73E474" w14:textId="77777777" w:rsidR="00D44B23" w:rsidRPr="009A5795" w:rsidRDefault="00D44B23" w:rsidP="00D44B23">
      <w:pPr>
        <w:spacing w:before="120"/>
        <w:jc w:val="both"/>
        <w:rPr>
          <w:rFonts w:ascii="Constantia" w:hAnsi="Constantia"/>
          <w:b/>
          <w:color w:val="000000" w:themeColor="text1"/>
        </w:rPr>
      </w:pPr>
      <w:r w:rsidRPr="009A5795">
        <w:rPr>
          <w:rFonts w:ascii="Constantia" w:hAnsi="Constantia"/>
          <w:color w:val="000000" w:themeColor="text1"/>
        </w:rPr>
        <w:t>Az Agria Vállalkozói Park üzemeltetése, a Servita Udvarház épületegyüttes bérbeadás útján történő hasznosítása, vásárok, rendezvények szervezése, faházak, sátrak bérbeadása, társasházkezelés.</w:t>
      </w:r>
    </w:p>
    <w:p w14:paraId="5C100543" w14:textId="77777777" w:rsidR="00D44B23" w:rsidRPr="009A5795" w:rsidRDefault="00D44B23" w:rsidP="00D44B23">
      <w:pPr>
        <w:numPr>
          <w:ilvl w:val="0"/>
          <w:numId w:val="11"/>
        </w:numPr>
        <w:spacing w:before="120"/>
        <w:ind w:left="0" w:firstLine="0"/>
        <w:jc w:val="both"/>
        <w:rPr>
          <w:rFonts w:ascii="Constantia" w:hAnsi="Constantia"/>
          <w:b/>
        </w:rPr>
      </w:pPr>
      <w:r w:rsidRPr="009A5795">
        <w:rPr>
          <w:rFonts w:ascii="Constantia" w:hAnsi="Constantia"/>
        </w:rPr>
        <w:lastRenderedPageBreak/>
        <w:t xml:space="preserve">A </w:t>
      </w:r>
      <w:r w:rsidRPr="009A5795">
        <w:rPr>
          <w:rFonts w:ascii="Constantia" w:hAnsi="Constantia"/>
          <w:i/>
        </w:rPr>
        <w:t>Gazdasági divízió</w:t>
      </w:r>
      <w:r w:rsidRPr="009A5795">
        <w:rPr>
          <w:rFonts w:ascii="Constantia" w:hAnsi="Constantia"/>
        </w:rPr>
        <w:t xml:space="preserve"> feladatkörébe tartozik az önkormányzati tulajdonú ingatlanok üzemeltetésével, bevételeivel, kiadásaival kapcsolatos pénzügyi, számviteli elszámolások bonyolítása.  A Zrt. és a cégcsoporthoz tartozó szervezetek számára számviteli-, bérszámfejtési-, adó- és járulék ügyviteli szolgáltatás nyújtása.</w:t>
      </w:r>
    </w:p>
    <w:p w14:paraId="6DA6D459" w14:textId="77777777" w:rsidR="00D44B23" w:rsidRPr="009A5795" w:rsidRDefault="00D44B23" w:rsidP="00D44B23">
      <w:pPr>
        <w:numPr>
          <w:ilvl w:val="0"/>
          <w:numId w:val="11"/>
        </w:numPr>
        <w:spacing w:before="120"/>
        <w:ind w:left="0" w:firstLine="0"/>
        <w:jc w:val="both"/>
        <w:rPr>
          <w:rFonts w:ascii="Constantia" w:hAnsi="Constantia"/>
        </w:rPr>
      </w:pPr>
      <w:r w:rsidRPr="009A5795">
        <w:rPr>
          <w:rFonts w:ascii="Constantia" w:hAnsi="Constantia"/>
        </w:rPr>
        <w:t xml:space="preserve">Az </w:t>
      </w:r>
      <w:r w:rsidRPr="009A5795">
        <w:rPr>
          <w:rFonts w:ascii="Constantia" w:hAnsi="Constantia"/>
          <w:i/>
          <w:iCs/>
        </w:rPr>
        <w:t>Igazgatási divízió</w:t>
      </w:r>
      <w:r w:rsidRPr="009A5795">
        <w:rPr>
          <w:rFonts w:ascii="Constantia" w:hAnsi="Constantia"/>
        </w:rPr>
        <w:t xml:space="preserve"> feladatkörébe tartozik a szervezet működésével kapcsolatos tevékenységek összefogása, a titkársági feladatok és az integrált irányítás koordinációja, a fejlesztési koncepciók meghatározása, az IT rendszerek vagy az IT rendszerekhez bármilyen módon fizikálisan vagy virtuálisan kapcsolódó egyéb szolgáltatások működtetése. A Zrt. és a cégcsoporthoz tartozó szervezetek számára való megfelelés és az adatvédelem felügyelete, az informatikai és számítástechnikai csoport feladatainak koordinálása. A fizető parkolók és a parkolással kapcsolatos fejlesztési lehetőségeinek felmérésében, előkészítésében történő közreműködés, kiemelt tekintettel az informatikai területre.</w:t>
      </w:r>
    </w:p>
    <w:p w14:paraId="342D4196" w14:textId="41BC2C21" w:rsidR="00D44B23" w:rsidRDefault="00D44B23" w:rsidP="00D44B23">
      <w:pPr>
        <w:spacing w:before="120"/>
        <w:jc w:val="both"/>
        <w:rPr>
          <w:rFonts w:ascii="Constantia" w:hAnsi="Constantia"/>
        </w:rPr>
      </w:pPr>
      <w:r w:rsidRPr="009A5795">
        <w:rPr>
          <w:rFonts w:ascii="Constantia" w:hAnsi="Constantia"/>
        </w:rPr>
        <w:t>Az EVAT Zrt. 2024. évi üzleti tervét az Igazgatóság 85/2024.(VI.13.) sz. határozatával fogadta el, Eger Megyei Jogú Város Közgyűlése nem tárgyalta. Az üzleti tervben megfogalmazott feladatokat, a gazdálkodást befolyásoló körülményeket figyelembe véve, adózás előtti eredményét -70.151 E Ft-ban hagyta jóvá.</w:t>
      </w:r>
    </w:p>
    <w:p w14:paraId="43B26534" w14:textId="77777777" w:rsidR="00D44B23" w:rsidRPr="00074C36" w:rsidRDefault="00D44B23" w:rsidP="00F40300">
      <w:pPr>
        <w:jc w:val="both"/>
        <w:rPr>
          <w:rFonts w:ascii="Constantia" w:hAnsi="Constantia" w:cs="Times-Roman"/>
          <w:color w:val="FF0000"/>
        </w:rPr>
      </w:pPr>
    </w:p>
    <w:p w14:paraId="2013532F" w14:textId="77777777" w:rsidR="00D44B23" w:rsidRPr="009A5795" w:rsidRDefault="00D44B23" w:rsidP="00D44B23">
      <w:pPr>
        <w:jc w:val="both"/>
        <w:rPr>
          <w:rFonts w:ascii="Constantia" w:hAnsi="Constantia"/>
        </w:rPr>
      </w:pPr>
      <w:r w:rsidRPr="009A5795">
        <w:rPr>
          <w:rFonts w:ascii="Constantia" w:hAnsi="Constantia"/>
        </w:rPr>
        <w:t xml:space="preserve">A </w:t>
      </w:r>
      <w:r w:rsidRPr="009A5795">
        <w:rPr>
          <w:rFonts w:ascii="Constantia" w:hAnsi="Constantia"/>
          <w:b/>
        </w:rPr>
        <w:t>társaság eredménykimutatását</w:t>
      </w:r>
      <w:r w:rsidRPr="009A5795">
        <w:rPr>
          <w:rFonts w:ascii="Constantia" w:hAnsi="Constantia"/>
        </w:rPr>
        <w:t xml:space="preserve"> (összköltség eljárással) az 1. sz. melléklet tartalmazza, amely bemutatja a 2023. évi tény, 2023. I-III. negyedéves tény, 2024. évi terv, 2024. évi I-III. negyedéves tény valamint a 2024. évi várható adatokat.</w:t>
      </w:r>
    </w:p>
    <w:p w14:paraId="206B064C" w14:textId="77777777" w:rsidR="00D44B23" w:rsidRPr="009A5795" w:rsidRDefault="00D44B23" w:rsidP="00D44B23">
      <w:pPr>
        <w:spacing w:before="240" w:after="240"/>
        <w:jc w:val="both"/>
        <w:rPr>
          <w:rFonts w:ascii="Constantia" w:hAnsi="Constantia"/>
        </w:rPr>
      </w:pPr>
      <w:r w:rsidRPr="009A5795">
        <w:rPr>
          <w:rFonts w:ascii="Constantia" w:hAnsi="Constantia"/>
        </w:rPr>
        <w:t xml:space="preserve">Az  </w:t>
      </w:r>
      <w:r w:rsidRPr="009A5795">
        <w:rPr>
          <w:rFonts w:ascii="Constantia" w:hAnsi="Constantia"/>
          <w:b/>
        </w:rPr>
        <w:t>értékesítés</w:t>
      </w:r>
      <w:r w:rsidRPr="009A5795">
        <w:rPr>
          <w:rFonts w:ascii="Constantia" w:hAnsi="Constantia"/>
        </w:rPr>
        <w:t xml:space="preserve"> </w:t>
      </w:r>
      <w:r w:rsidRPr="009A5795">
        <w:rPr>
          <w:rFonts w:ascii="Constantia" w:hAnsi="Constantia"/>
          <w:b/>
        </w:rPr>
        <w:t xml:space="preserve">nettó árbevétele </w:t>
      </w:r>
      <w:r w:rsidRPr="009A5795">
        <w:rPr>
          <w:rFonts w:ascii="Constantia" w:hAnsi="Constantia"/>
        </w:rPr>
        <w:t xml:space="preserve">2024. I-III. negyedévben az előző év hasonló időszakához képest 97,28 %-ra, a 2024. évi üzleti tervhez képest 71,36%-ra teljesült. </w:t>
      </w:r>
    </w:p>
    <w:p w14:paraId="44DD4B61" w14:textId="77777777" w:rsidR="00D44B23" w:rsidRDefault="00D44B23" w:rsidP="00D44B23">
      <w:pPr>
        <w:spacing w:before="240"/>
        <w:jc w:val="both"/>
        <w:rPr>
          <w:rFonts w:ascii="Constantia" w:hAnsi="Constantia"/>
        </w:rPr>
      </w:pPr>
      <w:r w:rsidRPr="009A5795">
        <w:rPr>
          <w:rFonts w:ascii="Constantia" w:hAnsi="Constantia"/>
        </w:rPr>
        <w:t xml:space="preserve">A költségek és egyéb ráfordítások 74,94%-ra teljesültek a bázishoz, 64,34%-ra a tervhez képest. A költségeken belül a legmagasabb arányt az anyagköltség teszi ki, melyet a fűtési időszak gáz és hőköltségének nagysága magyaráz. Az energia piacon 2022. év végén történt drasztikus áremelkedés után az árak mérséklődtek, de a költségek még így is többszöröse a két évvel ezelőttinek. </w:t>
      </w:r>
    </w:p>
    <w:p w14:paraId="011DC25A" w14:textId="77777777" w:rsidR="009C1B69" w:rsidRPr="009A5795" w:rsidRDefault="009C1B69" w:rsidP="00D44B23">
      <w:pPr>
        <w:spacing w:before="240"/>
        <w:jc w:val="both"/>
        <w:rPr>
          <w:rFonts w:ascii="Constantia" w:hAnsi="Constantia"/>
        </w:rPr>
      </w:pPr>
    </w:p>
    <w:tbl>
      <w:tblPr>
        <w:tblW w:w="8789" w:type="dxa"/>
        <w:tblCellMar>
          <w:left w:w="70" w:type="dxa"/>
          <w:right w:w="70" w:type="dxa"/>
        </w:tblCellMar>
        <w:tblLook w:val="04A0" w:firstRow="1" w:lastRow="0" w:firstColumn="1" w:lastColumn="0" w:noHBand="0" w:noVBand="1"/>
      </w:tblPr>
      <w:tblGrid>
        <w:gridCol w:w="1619"/>
        <w:gridCol w:w="1423"/>
        <w:gridCol w:w="1418"/>
        <w:gridCol w:w="1417"/>
        <w:gridCol w:w="1134"/>
        <w:gridCol w:w="425"/>
        <w:gridCol w:w="1418"/>
      </w:tblGrid>
      <w:tr w:rsidR="00D44B23" w:rsidRPr="009A5795" w14:paraId="047A8754" w14:textId="77777777" w:rsidTr="005B3AD7">
        <w:trPr>
          <w:trHeight w:val="390"/>
        </w:trPr>
        <w:tc>
          <w:tcPr>
            <w:tcW w:w="1554" w:type="dxa"/>
            <w:tcBorders>
              <w:top w:val="nil"/>
              <w:left w:val="nil"/>
              <w:bottom w:val="nil"/>
              <w:right w:val="nil"/>
            </w:tcBorders>
            <w:shd w:val="clear" w:color="auto" w:fill="auto"/>
            <w:noWrap/>
            <w:vAlign w:val="bottom"/>
            <w:hideMark/>
          </w:tcPr>
          <w:p w14:paraId="78A1A3CC" w14:textId="77777777" w:rsidR="00D44B23" w:rsidRPr="009A5795" w:rsidRDefault="00D44B23" w:rsidP="005B3AD7">
            <w:pPr>
              <w:rPr>
                <w:rFonts w:ascii="Constantia" w:hAnsi="Constantia"/>
              </w:rPr>
            </w:pPr>
          </w:p>
        </w:tc>
        <w:tc>
          <w:tcPr>
            <w:tcW w:w="1423" w:type="dxa"/>
            <w:tcBorders>
              <w:top w:val="nil"/>
              <w:left w:val="nil"/>
              <w:bottom w:val="nil"/>
              <w:right w:val="nil"/>
            </w:tcBorders>
            <w:shd w:val="clear" w:color="auto" w:fill="auto"/>
            <w:noWrap/>
            <w:vAlign w:val="bottom"/>
            <w:hideMark/>
          </w:tcPr>
          <w:p w14:paraId="6C15C7F6" w14:textId="77777777" w:rsidR="00D44B23" w:rsidRPr="009A5795" w:rsidRDefault="00D44B23" w:rsidP="005B3AD7">
            <w:pPr>
              <w:rPr>
                <w:rFonts w:ascii="Constantia" w:hAnsi="Constantia"/>
              </w:rPr>
            </w:pPr>
          </w:p>
        </w:tc>
        <w:tc>
          <w:tcPr>
            <w:tcW w:w="1418" w:type="dxa"/>
            <w:tcBorders>
              <w:top w:val="nil"/>
              <w:left w:val="nil"/>
              <w:bottom w:val="nil"/>
              <w:right w:val="nil"/>
            </w:tcBorders>
            <w:shd w:val="clear" w:color="auto" w:fill="auto"/>
            <w:noWrap/>
            <w:vAlign w:val="bottom"/>
            <w:hideMark/>
          </w:tcPr>
          <w:p w14:paraId="1AA51624" w14:textId="77777777" w:rsidR="00D44B23" w:rsidRPr="009A5795" w:rsidRDefault="00D44B23" w:rsidP="005B3AD7">
            <w:pPr>
              <w:rPr>
                <w:rFonts w:ascii="Constantia" w:hAnsi="Constantia"/>
              </w:rPr>
            </w:pPr>
          </w:p>
        </w:tc>
        <w:tc>
          <w:tcPr>
            <w:tcW w:w="1417" w:type="dxa"/>
            <w:tcBorders>
              <w:top w:val="nil"/>
              <w:left w:val="nil"/>
              <w:bottom w:val="nil"/>
              <w:right w:val="nil"/>
            </w:tcBorders>
            <w:shd w:val="clear" w:color="auto" w:fill="auto"/>
            <w:noWrap/>
            <w:vAlign w:val="bottom"/>
            <w:hideMark/>
          </w:tcPr>
          <w:p w14:paraId="4A4F1A9A" w14:textId="77777777" w:rsidR="00D44B23" w:rsidRPr="009A5795" w:rsidRDefault="00D44B23" w:rsidP="005B3AD7">
            <w:pPr>
              <w:rPr>
                <w:rFonts w:ascii="Constantia" w:hAnsi="Constantia"/>
              </w:rPr>
            </w:pPr>
          </w:p>
        </w:tc>
        <w:tc>
          <w:tcPr>
            <w:tcW w:w="1134" w:type="dxa"/>
            <w:tcBorders>
              <w:top w:val="nil"/>
              <w:left w:val="nil"/>
              <w:bottom w:val="nil"/>
              <w:right w:val="nil"/>
            </w:tcBorders>
            <w:shd w:val="clear" w:color="auto" w:fill="auto"/>
            <w:noWrap/>
            <w:vAlign w:val="bottom"/>
            <w:hideMark/>
          </w:tcPr>
          <w:p w14:paraId="57BC5046" w14:textId="77777777" w:rsidR="00D44B23" w:rsidRPr="009A5795" w:rsidRDefault="00D44B23" w:rsidP="005B3AD7">
            <w:pPr>
              <w:rPr>
                <w:rFonts w:ascii="Constantia" w:hAnsi="Constantia"/>
              </w:rPr>
            </w:pPr>
          </w:p>
        </w:tc>
        <w:tc>
          <w:tcPr>
            <w:tcW w:w="1843" w:type="dxa"/>
            <w:gridSpan w:val="2"/>
            <w:tcBorders>
              <w:top w:val="nil"/>
              <w:left w:val="nil"/>
              <w:bottom w:val="nil"/>
              <w:right w:val="nil"/>
            </w:tcBorders>
            <w:shd w:val="clear" w:color="auto" w:fill="auto"/>
            <w:noWrap/>
            <w:vAlign w:val="bottom"/>
            <w:hideMark/>
          </w:tcPr>
          <w:p w14:paraId="6E606E76" w14:textId="77777777" w:rsidR="00D44B23" w:rsidRPr="009A5795" w:rsidRDefault="00D44B23" w:rsidP="005B3AD7">
            <w:pPr>
              <w:ind w:right="-75"/>
              <w:jc w:val="right"/>
              <w:rPr>
                <w:rFonts w:ascii="Constantia" w:hAnsi="Constantia"/>
              </w:rPr>
            </w:pPr>
            <w:r w:rsidRPr="009A5795">
              <w:rPr>
                <w:rFonts w:ascii="Constantia" w:hAnsi="Constantia"/>
              </w:rPr>
              <w:t>Adatok E Ft-ban</w:t>
            </w:r>
          </w:p>
        </w:tc>
      </w:tr>
      <w:tr w:rsidR="00D44B23" w:rsidRPr="009A5795" w14:paraId="180C4A76" w14:textId="77777777" w:rsidTr="005B3AD7">
        <w:trPr>
          <w:trHeight w:val="525"/>
        </w:trPr>
        <w:tc>
          <w:tcPr>
            <w:tcW w:w="1554" w:type="dxa"/>
            <w:tcBorders>
              <w:top w:val="single" w:sz="8" w:space="0" w:color="auto"/>
              <w:left w:val="single" w:sz="8" w:space="0" w:color="auto"/>
              <w:bottom w:val="nil"/>
              <w:right w:val="nil"/>
            </w:tcBorders>
            <w:shd w:val="clear" w:color="auto" w:fill="auto"/>
            <w:noWrap/>
            <w:vAlign w:val="center"/>
            <w:hideMark/>
          </w:tcPr>
          <w:p w14:paraId="6BA648B3" w14:textId="77777777" w:rsidR="00D44B23" w:rsidRPr="009A5795" w:rsidRDefault="00D44B23" w:rsidP="005B3AD7">
            <w:pPr>
              <w:jc w:val="center"/>
              <w:rPr>
                <w:rFonts w:ascii="Constantia" w:hAnsi="Constantia"/>
              </w:rPr>
            </w:pPr>
            <w:r w:rsidRPr="009A5795">
              <w:rPr>
                <w:rFonts w:ascii="Constantia" w:hAnsi="Constantia"/>
              </w:rPr>
              <w:t>Megnevezés</w:t>
            </w:r>
          </w:p>
        </w:tc>
        <w:tc>
          <w:tcPr>
            <w:tcW w:w="1423" w:type="dxa"/>
            <w:tcBorders>
              <w:top w:val="single" w:sz="8" w:space="0" w:color="auto"/>
              <w:left w:val="single" w:sz="8" w:space="0" w:color="auto"/>
              <w:bottom w:val="nil"/>
              <w:right w:val="single" w:sz="4" w:space="0" w:color="auto"/>
            </w:tcBorders>
            <w:shd w:val="clear" w:color="auto" w:fill="auto"/>
            <w:noWrap/>
            <w:vAlign w:val="center"/>
            <w:hideMark/>
          </w:tcPr>
          <w:p w14:paraId="653FFB27" w14:textId="77777777" w:rsidR="00D44B23" w:rsidRPr="009A5795" w:rsidRDefault="00D44B23" w:rsidP="005B3AD7">
            <w:pPr>
              <w:jc w:val="center"/>
              <w:rPr>
                <w:rFonts w:ascii="Constantia" w:hAnsi="Constantia"/>
              </w:rPr>
            </w:pPr>
            <w:r w:rsidRPr="009A5795">
              <w:rPr>
                <w:rFonts w:ascii="Constantia" w:hAnsi="Constantia"/>
              </w:rPr>
              <w:t>2022.I-III.név</w:t>
            </w:r>
          </w:p>
        </w:tc>
        <w:tc>
          <w:tcPr>
            <w:tcW w:w="1418" w:type="dxa"/>
            <w:tcBorders>
              <w:top w:val="single" w:sz="8" w:space="0" w:color="auto"/>
              <w:left w:val="nil"/>
              <w:bottom w:val="nil"/>
              <w:right w:val="single" w:sz="4" w:space="0" w:color="auto"/>
            </w:tcBorders>
            <w:shd w:val="clear" w:color="auto" w:fill="auto"/>
            <w:noWrap/>
            <w:vAlign w:val="center"/>
            <w:hideMark/>
          </w:tcPr>
          <w:p w14:paraId="6292F862" w14:textId="77777777" w:rsidR="00D44B23" w:rsidRPr="009A5795" w:rsidRDefault="00D44B23" w:rsidP="005B3AD7">
            <w:pPr>
              <w:jc w:val="center"/>
              <w:rPr>
                <w:rFonts w:ascii="Constantia" w:hAnsi="Constantia"/>
              </w:rPr>
            </w:pPr>
            <w:r w:rsidRPr="009A5795">
              <w:rPr>
                <w:rFonts w:ascii="Constantia" w:hAnsi="Constantia"/>
              </w:rPr>
              <w:t>2023.I-III.név</w:t>
            </w:r>
          </w:p>
        </w:tc>
        <w:tc>
          <w:tcPr>
            <w:tcW w:w="1417" w:type="dxa"/>
            <w:tcBorders>
              <w:top w:val="single" w:sz="8" w:space="0" w:color="auto"/>
              <w:left w:val="nil"/>
              <w:bottom w:val="nil"/>
              <w:right w:val="single" w:sz="8" w:space="0" w:color="auto"/>
            </w:tcBorders>
            <w:shd w:val="clear" w:color="auto" w:fill="auto"/>
            <w:noWrap/>
            <w:vAlign w:val="center"/>
            <w:hideMark/>
          </w:tcPr>
          <w:p w14:paraId="3B4FB30D" w14:textId="77777777" w:rsidR="00D44B23" w:rsidRPr="009A5795" w:rsidRDefault="00D44B23" w:rsidP="005B3AD7">
            <w:pPr>
              <w:jc w:val="center"/>
              <w:rPr>
                <w:rFonts w:ascii="Constantia" w:hAnsi="Constantia"/>
              </w:rPr>
            </w:pPr>
            <w:r w:rsidRPr="009A5795">
              <w:rPr>
                <w:rFonts w:ascii="Constantia" w:hAnsi="Constantia"/>
              </w:rPr>
              <w:t>2024.I-III.név</w:t>
            </w:r>
          </w:p>
        </w:tc>
        <w:tc>
          <w:tcPr>
            <w:tcW w:w="1559" w:type="dxa"/>
            <w:gridSpan w:val="2"/>
            <w:tcBorders>
              <w:top w:val="single" w:sz="8" w:space="0" w:color="auto"/>
              <w:left w:val="nil"/>
              <w:bottom w:val="nil"/>
              <w:right w:val="single" w:sz="4" w:space="0" w:color="auto"/>
            </w:tcBorders>
            <w:shd w:val="clear" w:color="auto" w:fill="auto"/>
            <w:vAlign w:val="center"/>
            <w:hideMark/>
          </w:tcPr>
          <w:p w14:paraId="7B94BF54" w14:textId="77777777" w:rsidR="00D44B23" w:rsidRPr="009A5795" w:rsidRDefault="00D44B23" w:rsidP="005B3AD7">
            <w:pPr>
              <w:jc w:val="center"/>
              <w:rPr>
                <w:rFonts w:ascii="Constantia" w:hAnsi="Constantia"/>
              </w:rPr>
            </w:pPr>
            <w:r w:rsidRPr="009A5795">
              <w:rPr>
                <w:rFonts w:ascii="Constantia" w:hAnsi="Constantia"/>
              </w:rPr>
              <w:t>Index (%)</w:t>
            </w:r>
            <w:r w:rsidRPr="009A5795">
              <w:rPr>
                <w:rFonts w:ascii="Constantia" w:hAnsi="Constantia"/>
              </w:rPr>
              <w:br/>
              <w:t>2024/2022</w:t>
            </w:r>
          </w:p>
        </w:tc>
        <w:tc>
          <w:tcPr>
            <w:tcW w:w="1418" w:type="dxa"/>
            <w:tcBorders>
              <w:top w:val="single" w:sz="8" w:space="0" w:color="auto"/>
              <w:left w:val="nil"/>
              <w:bottom w:val="nil"/>
              <w:right w:val="single" w:sz="8" w:space="0" w:color="auto"/>
            </w:tcBorders>
            <w:shd w:val="clear" w:color="auto" w:fill="auto"/>
            <w:vAlign w:val="center"/>
            <w:hideMark/>
          </w:tcPr>
          <w:p w14:paraId="147CEFE8" w14:textId="77777777" w:rsidR="00D44B23" w:rsidRPr="009A5795" w:rsidRDefault="00D44B23" w:rsidP="005B3AD7">
            <w:pPr>
              <w:jc w:val="center"/>
              <w:rPr>
                <w:rFonts w:ascii="Constantia" w:hAnsi="Constantia"/>
              </w:rPr>
            </w:pPr>
            <w:r w:rsidRPr="009A5795">
              <w:rPr>
                <w:rFonts w:ascii="Constantia" w:hAnsi="Constantia"/>
              </w:rPr>
              <w:t>Index (%)</w:t>
            </w:r>
            <w:r w:rsidRPr="009A5795">
              <w:rPr>
                <w:rFonts w:ascii="Constantia" w:hAnsi="Constantia"/>
              </w:rPr>
              <w:br/>
              <w:t>2024/2023</w:t>
            </w:r>
          </w:p>
        </w:tc>
      </w:tr>
      <w:tr w:rsidR="00D44B23" w:rsidRPr="009A5795" w14:paraId="64C590A1" w14:textId="77777777" w:rsidTr="005B3AD7">
        <w:trPr>
          <w:trHeight w:val="315"/>
        </w:trPr>
        <w:tc>
          <w:tcPr>
            <w:tcW w:w="1554" w:type="dxa"/>
            <w:tcBorders>
              <w:top w:val="single" w:sz="8" w:space="0" w:color="auto"/>
              <w:left w:val="single" w:sz="8" w:space="0" w:color="auto"/>
              <w:bottom w:val="single" w:sz="4" w:space="0" w:color="auto"/>
              <w:right w:val="nil"/>
            </w:tcBorders>
            <w:shd w:val="clear" w:color="auto" w:fill="auto"/>
            <w:noWrap/>
            <w:vAlign w:val="bottom"/>
            <w:hideMark/>
          </w:tcPr>
          <w:p w14:paraId="2A9146AB" w14:textId="77777777" w:rsidR="00D44B23" w:rsidRPr="009A5795" w:rsidRDefault="00D44B23" w:rsidP="005B3AD7">
            <w:pPr>
              <w:rPr>
                <w:rFonts w:ascii="Constantia" w:hAnsi="Constantia"/>
                <w:color w:val="000000"/>
              </w:rPr>
            </w:pPr>
            <w:r w:rsidRPr="009A5795">
              <w:rPr>
                <w:rFonts w:ascii="Constantia" w:hAnsi="Constantia"/>
                <w:color w:val="000000"/>
              </w:rPr>
              <w:t>Gázköltség</w:t>
            </w:r>
          </w:p>
        </w:tc>
        <w:tc>
          <w:tcPr>
            <w:tcW w:w="142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250D1A2" w14:textId="77777777" w:rsidR="00D44B23" w:rsidRPr="009A5795" w:rsidRDefault="00D44B23" w:rsidP="005B3AD7">
            <w:pPr>
              <w:jc w:val="right"/>
              <w:rPr>
                <w:rFonts w:ascii="Constantia" w:hAnsi="Constantia"/>
              </w:rPr>
            </w:pPr>
            <w:r w:rsidRPr="009A5795">
              <w:rPr>
                <w:rFonts w:ascii="Constantia" w:hAnsi="Constantia"/>
              </w:rPr>
              <w:t>255 556</w:t>
            </w:r>
          </w:p>
        </w:tc>
        <w:tc>
          <w:tcPr>
            <w:tcW w:w="1418" w:type="dxa"/>
            <w:tcBorders>
              <w:top w:val="single" w:sz="8" w:space="0" w:color="auto"/>
              <w:left w:val="nil"/>
              <w:bottom w:val="single" w:sz="4" w:space="0" w:color="auto"/>
              <w:right w:val="single" w:sz="4" w:space="0" w:color="auto"/>
            </w:tcBorders>
            <w:shd w:val="clear" w:color="auto" w:fill="auto"/>
            <w:noWrap/>
            <w:vAlign w:val="bottom"/>
            <w:hideMark/>
          </w:tcPr>
          <w:p w14:paraId="11870095" w14:textId="77777777" w:rsidR="00D44B23" w:rsidRPr="009A5795" w:rsidRDefault="00D44B23" w:rsidP="005B3AD7">
            <w:pPr>
              <w:jc w:val="right"/>
              <w:rPr>
                <w:rFonts w:ascii="Constantia" w:hAnsi="Constantia"/>
              </w:rPr>
            </w:pPr>
            <w:r w:rsidRPr="009A5795">
              <w:rPr>
                <w:rFonts w:ascii="Constantia" w:hAnsi="Constantia"/>
              </w:rPr>
              <w:t>1 441 418</w:t>
            </w:r>
          </w:p>
        </w:tc>
        <w:tc>
          <w:tcPr>
            <w:tcW w:w="1417" w:type="dxa"/>
            <w:tcBorders>
              <w:top w:val="single" w:sz="8" w:space="0" w:color="auto"/>
              <w:left w:val="nil"/>
              <w:bottom w:val="single" w:sz="4" w:space="0" w:color="auto"/>
              <w:right w:val="single" w:sz="8" w:space="0" w:color="auto"/>
            </w:tcBorders>
            <w:shd w:val="clear" w:color="auto" w:fill="auto"/>
            <w:noWrap/>
            <w:vAlign w:val="bottom"/>
            <w:hideMark/>
          </w:tcPr>
          <w:p w14:paraId="032E079C" w14:textId="77777777" w:rsidR="00D44B23" w:rsidRPr="009A5795" w:rsidRDefault="00D44B23" w:rsidP="005B3AD7">
            <w:pPr>
              <w:jc w:val="right"/>
              <w:rPr>
                <w:rFonts w:ascii="Constantia" w:hAnsi="Constantia"/>
              </w:rPr>
            </w:pPr>
            <w:r w:rsidRPr="009A5795">
              <w:rPr>
                <w:rFonts w:ascii="Constantia" w:hAnsi="Constantia"/>
              </w:rPr>
              <w:t>655 636</w:t>
            </w:r>
          </w:p>
        </w:tc>
        <w:tc>
          <w:tcPr>
            <w:tcW w:w="1559" w:type="dxa"/>
            <w:gridSpan w:val="2"/>
            <w:tcBorders>
              <w:top w:val="single" w:sz="8" w:space="0" w:color="auto"/>
              <w:left w:val="nil"/>
              <w:bottom w:val="single" w:sz="4" w:space="0" w:color="auto"/>
              <w:right w:val="single" w:sz="4" w:space="0" w:color="auto"/>
            </w:tcBorders>
            <w:shd w:val="clear" w:color="auto" w:fill="auto"/>
            <w:noWrap/>
            <w:vAlign w:val="bottom"/>
            <w:hideMark/>
          </w:tcPr>
          <w:p w14:paraId="17E696FC" w14:textId="77777777" w:rsidR="00D44B23" w:rsidRPr="009A5795" w:rsidRDefault="00D44B23" w:rsidP="005B3AD7">
            <w:pPr>
              <w:jc w:val="right"/>
              <w:rPr>
                <w:rFonts w:ascii="Constantia" w:hAnsi="Constantia"/>
              </w:rPr>
            </w:pPr>
            <w:r w:rsidRPr="009A5795">
              <w:rPr>
                <w:rFonts w:ascii="Constantia" w:hAnsi="Constantia"/>
              </w:rPr>
              <w:t>256,55%</w:t>
            </w:r>
          </w:p>
        </w:tc>
        <w:tc>
          <w:tcPr>
            <w:tcW w:w="1418" w:type="dxa"/>
            <w:tcBorders>
              <w:top w:val="single" w:sz="8" w:space="0" w:color="auto"/>
              <w:left w:val="nil"/>
              <w:bottom w:val="single" w:sz="4" w:space="0" w:color="auto"/>
              <w:right w:val="single" w:sz="8" w:space="0" w:color="auto"/>
            </w:tcBorders>
            <w:shd w:val="clear" w:color="auto" w:fill="auto"/>
            <w:noWrap/>
            <w:vAlign w:val="bottom"/>
            <w:hideMark/>
          </w:tcPr>
          <w:p w14:paraId="043AF494" w14:textId="77777777" w:rsidR="00D44B23" w:rsidRPr="009A5795" w:rsidRDefault="00D44B23" w:rsidP="005B3AD7">
            <w:pPr>
              <w:jc w:val="right"/>
              <w:rPr>
                <w:rFonts w:ascii="Constantia" w:hAnsi="Constantia"/>
              </w:rPr>
            </w:pPr>
            <w:r w:rsidRPr="009A5795">
              <w:rPr>
                <w:rFonts w:ascii="Constantia" w:hAnsi="Constantia"/>
              </w:rPr>
              <w:t>45,49%</w:t>
            </w:r>
          </w:p>
        </w:tc>
      </w:tr>
      <w:tr w:rsidR="00D44B23" w:rsidRPr="009A5795" w14:paraId="3090E9CE" w14:textId="77777777" w:rsidTr="005B3AD7">
        <w:trPr>
          <w:trHeight w:val="315"/>
        </w:trPr>
        <w:tc>
          <w:tcPr>
            <w:tcW w:w="1554" w:type="dxa"/>
            <w:tcBorders>
              <w:top w:val="nil"/>
              <w:left w:val="single" w:sz="8" w:space="0" w:color="auto"/>
              <w:bottom w:val="single" w:sz="4" w:space="0" w:color="auto"/>
              <w:right w:val="nil"/>
            </w:tcBorders>
            <w:shd w:val="clear" w:color="auto" w:fill="auto"/>
            <w:noWrap/>
            <w:vAlign w:val="bottom"/>
            <w:hideMark/>
          </w:tcPr>
          <w:p w14:paraId="0A4A598B" w14:textId="77777777" w:rsidR="00D44B23" w:rsidRPr="009A5795" w:rsidRDefault="00D44B23" w:rsidP="005B3AD7">
            <w:pPr>
              <w:rPr>
                <w:rFonts w:ascii="Constantia" w:hAnsi="Constantia"/>
                <w:color w:val="000000"/>
              </w:rPr>
            </w:pPr>
            <w:r w:rsidRPr="009A5795">
              <w:rPr>
                <w:rFonts w:ascii="Constantia" w:hAnsi="Constantia"/>
                <w:color w:val="000000"/>
              </w:rPr>
              <w:t>Villanyköltség</w:t>
            </w:r>
          </w:p>
        </w:tc>
        <w:tc>
          <w:tcPr>
            <w:tcW w:w="1423" w:type="dxa"/>
            <w:tcBorders>
              <w:top w:val="nil"/>
              <w:left w:val="single" w:sz="8" w:space="0" w:color="auto"/>
              <w:bottom w:val="single" w:sz="4" w:space="0" w:color="auto"/>
              <w:right w:val="single" w:sz="4" w:space="0" w:color="auto"/>
            </w:tcBorders>
            <w:shd w:val="clear" w:color="auto" w:fill="auto"/>
            <w:noWrap/>
            <w:vAlign w:val="bottom"/>
            <w:hideMark/>
          </w:tcPr>
          <w:p w14:paraId="6159CFEF" w14:textId="77777777" w:rsidR="00D44B23" w:rsidRPr="009A5795" w:rsidRDefault="00D44B23" w:rsidP="005B3AD7">
            <w:pPr>
              <w:jc w:val="right"/>
              <w:rPr>
                <w:rFonts w:ascii="Constantia" w:hAnsi="Constantia"/>
              </w:rPr>
            </w:pPr>
            <w:r w:rsidRPr="009A5795">
              <w:rPr>
                <w:rFonts w:ascii="Constantia" w:hAnsi="Constantia"/>
              </w:rPr>
              <w:t>48 118</w:t>
            </w:r>
          </w:p>
        </w:tc>
        <w:tc>
          <w:tcPr>
            <w:tcW w:w="1418" w:type="dxa"/>
            <w:tcBorders>
              <w:top w:val="nil"/>
              <w:left w:val="nil"/>
              <w:bottom w:val="single" w:sz="4" w:space="0" w:color="auto"/>
              <w:right w:val="single" w:sz="4" w:space="0" w:color="auto"/>
            </w:tcBorders>
            <w:shd w:val="clear" w:color="auto" w:fill="auto"/>
            <w:noWrap/>
            <w:vAlign w:val="bottom"/>
            <w:hideMark/>
          </w:tcPr>
          <w:p w14:paraId="4D8AE4A2" w14:textId="77777777" w:rsidR="00D44B23" w:rsidRPr="009A5795" w:rsidRDefault="00D44B23" w:rsidP="005B3AD7">
            <w:pPr>
              <w:jc w:val="right"/>
              <w:rPr>
                <w:rFonts w:ascii="Constantia" w:hAnsi="Constantia"/>
              </w:rPr>
            </w:pPr>
            <w:r w:rsidRPr="009A5795">
              <w:rPr>
                <w:rFonts w:ascii="Constantia" w:hAnsi="Constantia"/>
              </w:rPr>
              <w:t>176 600</w:t>
            </w:r>
          </w:p>
        </w:tc>
        <w:tc>
          <w:tcPr>
            <w:tcW w:w="1417" w:type="dxa"/>
            <w:tcBorders>
              <w:top w:val="nil"/>
              <w:left w:val="nil"/>
              <w:bottom w:val="single" w:sz="4" w:space="0" w:color="auto"/>
              <w:right w:val="single" w:sz="8" w:space="0" w:color="auto"/>
            </w:tcBorders>
            <w:shd w:val="clear" w:color="auto" w:fill="auto"/>
            <w:noWrap/>
            <w:vAlign w:val="bottom"/>
            <w:hideMark/>
          </w:tcPr>
          <w:p w14:paraId="6471E867" w14:textId="77777777" w:rsidR="00D44B23" w:rsidRPr="009A5795" w:rsidRDefault="00D44B23" w:rsidP="005B3AD7">
            <w:pPr>
              <w:jc w:val="right"/>
              <w:rPr>
                <w:rFonts w:ascii="Constantia" w:hAnsi="Constantia"/>
              </w:rPr>
            </w:pPr>
            <w:r w:rsidRPr="009A5795">
              <w:rPr>
                <w:rFonts w:ascii="Constantia" w:hAnsi="Constantia"/>
              </w:rPr>
              <w:t>62 133</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00ED9130" w14:textId="77777777" w:rsidR="00D44B23" w:rsidRPr="009A5795" w:rsidRDefault="00D44B23" w:rsidP="005B3AD7">
            <w:pPr>
              <w:jc w:val="right"/>
              <w:rPr>
                <w:rFonts w:ascii="Constantia" w:hAnsi="Constantia"/>
              </w:rPr>
            </w:pPr>
            <w:r w:rsidRPr="009A5795">
              <w:rPr>
                <w:rFonts w:ascii="Constantia" w:hAnsi="Constantia"/>
              </w:rPr>
              <w:t>129,13%</w:t>
            </w:r>
          </w:p>
        </w:tc>
        <w:tc>
          <w:tcPr>
            <w:tcW w:w="1418" w:type="dxa"/>
            <w:tcBorders>
              <w:top w:val="nil"/>
              <w:left w:val="nil"/>
              <w:bottom w:val="single" w:sz="4" w:space="0" w:color="auto"/>
              <w:right w:val="single" w:sz="8" w:space="0" w:color="auto"/>
            </w:tcBorders>
            <w:shd w:val="clear" w:color="auto" w:fill="auto"/>
            <w:noWrap/>
            <w:vAlign w:val="bottom"/>
            <w:hideMark/>
          </w:tcPr>
          <w:p w14:paraId="34E782C7" w14:textId="77777777" w:rsidR="00D44B23" w:rsidRPr="009A5795" w:rsidRDefault="00D44B23" w:rsidP="005B3AD7">
            <w:pPr>
              <w:jc w:val="right"/>
              <w:rPr>
                <w:rFonts w:ascii="Constantia" w:hAnsi="Constantia"/>
              </w:rPr>
            </w:pPr>
            <w:r w:rsidRPr="009A5795">
              <w:rPr>
                <w:rFonts w:ascii="Constantia" w:hAnsi="Constantia"/>
              </w:rPr>
              <w:t>35,18%</w:t>
            </w:r>
          </w:p>
        </w:tc>
      </w:tr>
      <w:tr w:rsidR="00D44B23" w:rsidRPr="009A5795" w14:paraId="3E1111DC" w14:textId="77777777" w:rsidTr="005B3AD7">
        <w:trPr>
          <w:trHeight w:val="330"/>
        </w:trPr>
        <w:tc>
          <w:tcPr>
            <w:tcW w:w="1554" w:type="dxa"/>
            <w:tcBorders>
              <w:top w:val="nil"/>
              <w:left w:val="single" w:sz="8" w:space="0" w:color="auto"/>
              <w:bottom w:val="single" w:sz="8" w:space="0" w:color="auto"/>
              <w:right w:val="nil"/>
            </w:tcBorders>
            <w:shd w:val="clear" w:color="auto" w:fill="auto"/>
            <w:noWrap/>
            <w:vAlign w:val="bottom"/>
            <w:hideMark/>
          </w:tcPr>
          <w:p w14:paraId="42665D30" w14:textId="77777777" w:rsidR="00D44B23" w:rsidRPr="009A5795" w:rsidRDefault="00D44B23" w:rsidP="005B3AD7">
            <w:pPr>
              <w:rPr>
                <w:rFonts w:ascii="Constantia" w:hAnsi="Constantia"/>
                <w:color w:val="000000"/>
              </w:rPr>
            </w:pPr>
            <w:r w:rsidRPr="009A5795">
              <w:rPr>
                <w:rFonts w:ascii="Constantia" w:hAnsi="Constantia"/>
                <w:color w:val="000000"/>
              </w:rPr>
              <w:t>Hőköltség</w:t>
            </w:r>
          </w:p>
        </w:tc>
        <w:tc>
          <w:tcPr>
            <w:tcW w:w="1423" w:type="dxa"/>
            <w:tcBorders>
              <w:top w:val="nil"/>
              <w:left w:val="single" w:sz="8" w:space="0" w:color="auto"/>
              <w:bottom w:val="single" w:sz="8" w:space="0" w:color="auto"/>
              <w:right w:val="single" w:sz="4" w:space="0" w:color="auto"/>
            </w:tcBorders>
            <w:shd w:val="clear" w:color="auto" w:fill="auto"/>
            <w:noWrap/>
            <w:vAlign w:val="bottom"/>
            <w:hideMark/>
          </w:tcPr>
          <w:p w14:paraId="6C11D85C" w14:textId="77777777" w:rsidR="00D44B23" w:rsidRPr="009A5795" w:rsidRDefault="00D44B23" w:rsidP="005B3AD7">
            <w:pPr>
              <w:jc w:val="right"/>
              <w:rPr>
                <w:rFonts w:ascii="Constantia" w:hAnsi="Constantia"/>
              </w:rPr>
            </w:pPr>
            <w:r w:rsidRPr="009A5795">
              <w:rPr>
                <w:rFonts w:ascii="Constantia" w:hAnsi="Constantia"/>
              </w:rPr>
              <w:t>195 587</w:t>
            </w:r>
          </w:p>
        </w:tc>
        <w:tc>
          <w:tcPr>
            <w:tcW w:w="1418" w:type="dxa"/>
            <w:tcBorders>
              <w:top w:val="nil"/>
              <w:left w:val="nil"/>
              <w:bottom w:val="single" w:sz="8" w:space="0" w:color="auto"/>
              <w:right w:val="single" w:sz="4" w:space="0" w:color="auto"/>
            </w:tcBorders>
            <w:shd w:val="clear" w:color="auto" w:fill="auto"/>
            <w:noWrap/>
            <w:vAlign w:val="bottom"/>
            <w:hideMark/>
          </w:tcPr>
          <w:p w14:paraId="03A62262" w14:textId="77777777" w:rsidR="00D44B23" w:rsidRPr="009A5795" w:rsidRDefault="00D44B23" w:rsidP="005B3AD7">
            <w:pPr>
              <w:jc w:val="right"/>
              <w:rPr>
                <w:rFonts w:ascii="Constantia" w:hAnsi="Constantia"/>
              </w:rPr>
            </w:pPr>
            <w:r w:rsidRPr="009A5795">
              <w:rPr>
                <w:rFonts w:ascii="Constantia" w:hAnsi="Constantia"/>
              </w:rPr>
              <w:t>843 531</w:t>
            </w:r>
          </w:p>
        </w:tc>
        <w:tc>
          <w:tcPr>
            <w:tcW w:w="1417" w:type="dxa"/>
            <w:tcBorders>
              <w:top w:val="nil"/>
              <w:left w:val="nil"/>
              <w:bottom w:val="single" w:sz="8" w:space="0" w:color="auto"/>
              <w:right w:val="single" w:sz="8" w:space="0" w:color="auto"/>
            </w:tcBorders>
            <w:shd w:val="clear" w:color="auto" w:fill="auto"/>
            <w:noWrap/>
            <w:vAlign w:val="bottom"/>
            <w:hideMark/>
          </w:tcPr>
          <w:p w14:paraId="1781BEE1" w14:textId="77777777" w:rsidR="00D44B23" w:rsidRPr="009A5795" w:rsidRDefault="00D44B23" w:rsidP="005B3AD7">
            <w:pPr>
              <w:jc w:val="right"/>
              <w:rPr>
                <w:rFonts w:ascii="Constantia" w:hAnsi="Constantia"/>
              </w:rPr>
            </w:pPr>
            <w:r w:rsidRPr="009A5795">
              <w:rPr>
                <w:rFonts w:ascii="Constantia" w:hAnsi="Constantia"/>
              </w:rPr>
              <w:t>424 649</w:t>
            </w:r>
          </w:p>
        </w:tc>
        <w:tc>
          <w:tcPr>
            <w:tcW w:w="1559" w:type="dxa"/>
            <w:gridSpan w:val="2"/>
            <w:tcBorders>
              <w:top w:val="nil"/>
              <w:left w:val="nil"/>
              <w:bottom w:val="single" w:sz="8" w:space="0" w:color="auto"/>
              <w:right w:val="single" w:sz="4" w:space="0" w:color="auto"/>
            </w:tcBorders>
            <w:shd w:val="clear" w:color="auto" w:fill="auto"/>
            <w:noWrap/>
            <w:vAlign w:val="bottom"/>
            <w:hideMark/>
          </w:tcPr>
          <w:p w14:paraId="678476D5" w14:textId="77777777" w:rsidR="00D44B23" w:rsidRPr="009A5795" w:rsidRDefault="00D44B23" w:rsidP="005B3AD7">
            <w:pPr>
              <w:jc w:val="right"/>
              <w:rPr>
                <w:rFonts w:ascii="Constantia" w:hAnsi="Constantia"/>
              </w:rPr>
            </w:pPr>
            <w:r w:rsidRPr="009A5795">
              <w:rPr>
                <w:rFonts w:ascii="Constantia" w:hAnsi="Constantia"/>
              </w:rPr>
              <w:t>217,12%</w:t>
            </w:r>
          </w:p>
        </w:tc>
        <w:tc>
          <w:tcPr>
            <w:tcW w:w="1418" w:type="dxa"/>
            <w:tcBorders>
              <w:top w:val="nil"/>
              <w:left w:val="nil"/>
              <w:bottom w:val="single" w:sz="8" w:space="0" w:color="auto"/>
              <w:right w:val="single" w:sz="8" w:space="0" w:color="auto"/>
            </w:tcBorders>
            <w:shd w:val="clear" w:color="auto" w:fill="auto"/>
            <w:noWrap/>
            <w:vAlign w:val="bottom"/>
            <w:hideMark/>
          </w:tcPr>
          <w:p w14:paraId="5FCFB2F4" w14:textId="77777777" w:rsidR="00D44B23" w:rsidRPr="009A5795" w:rsidRDefault="00D44B23" w:rsidP="005B3AD7">
            <w:pPr>
              <w:jc w:val="right"/>
              <w:rPr>
                <w:rFonts w:ascii="Constantia" w:hAnsi="Constantia"/>
              </w:rPr>
            </w:pPr>
            <w:r w:rsidRPr="009A5795">
              <w:rPr>
                <w:rFonts w:ascii="Constantia" w:hAnsi="Constantia"/>
              </w:rPr>
              <w:t>50,34%</w:t>
            </w:r>
          </w:p>
        </w:tc>
      </w:tr>
      <w:tr w:rsidR="00D44B23" w:rsidRPr="009A5795" w14:paraId="64042C2F" w14:textId="77777777" w:rsidTr="005B3AD7">
        <w:trPr>
          <w:trHeight w:val="330"/>
        </w:trPr>
        <w:tc>
          <w:tcPr>
            <w:tcW w:w="1554" w:type="dxa"/>
            <w:tcBorders>
              <w:top w:val="nil"/>
              <w:left w:val="single" w:sz="8" w:space="0" w:color="auto"/>
              <w:bottom w:val="single" w:sz="8" w:space="0" w:color="auto"/>
              <w:right w:val="nil"/>
            </w:tcBorders>
            <w:shd w:val="clear" w:color="auto" w:fill="auto"/>
            <w:noWrap/>
            <w:vAlign w:val="bottom"/>
            <w:hideMark/>
          </w:tcPr>
          <w:p w14:paraId="2FE6E8E2" w14:textId="77777777" w:rsidR="00D44B23" w:rsidRPr="009A5795" w:rsidRDefault="00D44B23" w:rsidP="005B3AD7">
            <w:pPr>
              <w:rPr>
                <w:rFonts w:ascii="Constantia" w:hAnsi="Constantia"/>
                <w:b/>
                <w:bCs/>
              </w:rPr>
            </w:pPr>
            <w:r w:rsidRPr="009A5795">
              <w:rPr>
                <w:rFonts w:ascii="Constantia" w:hAnsi="Constantia"/>
                <w:b/>
                <w:bCs/>
              </w:rPr>
              <w:t>Összesen</w:t>
            </w:r>
          </w:p>
        </w:tc>
        <w:tc>
          <w:tcPr>
            <w:tcW w:w="1423" w:type="dxa"/>
            <w:tcBorders>
              <w:top w:val="nil"/>
              <w:left w:val="single" w:sz="8" w:space="0" w:color="auto"/>
              <w:bottom w:val="single" w:sz="8" w:space="0" w:color="auto"/>
              <w:right w:val="single" w:sz="4" w:space="0" w:color="auto"/>
            </w:tcBorders>
            <w:shd w:val="clear" w:color="auto" w:fill="auto"/>
            <w:noWrap/>
            <w:vAlign w:val="bottom"/>
            <w:hideMark/>
          </w:tcPr>
          <w:p w14:paraId="4880F646" w14:textId="77777777" w:rsidR="00D44B23" w:rsidRPr="009A5795" w:rsidRDefault="00D44B23" w:rsidP="005B3AD7">
            <w:pPr>
              <w:jc w:val="right"/>
              <w:rPr>
                <w:rFonts w:ascii="Constantia" w:hAnsi="Constantia"/>
                <w:b/>
                <w:bCs/>
              </w:rPr>
            </w:pPr>
            <w:r w:rsidRPr="009A5795">
              <w:rPr>
                <w:rFonts w:ascii="Constantia" w:hAnsi="Constantia"/>
                <w:b/>
                <w:bCs/>
              </w:rPr>
              <w:t>499 261</w:t>
            </w:r>
          </w:p>
        </w:tc>
        <w:tc>
          <w:tcPr>
            <w:tcW w:w="1418" w:type="dxa"/>
            <w:tcBorders>
              <w:top w:val="nil"/>
              <w:left w:val="nil"/>
              <w:bottom w:val="single" w:sz="8" w:space="0" w:color="auto"/>
              <w:right w:val="single" w:sz="4" w:space="0" w:color="auto"/>
            </w:tcBorders>
            <w:shd w:val="clear" w:color="auto" w:fill="auto"/>
            <w:noWrap/>
            <w:vAlign w:val="bottom"/>
            <w:hideMark/>
          </w:tcPr>
          <w:p w14:paraId="1674C2E9" w14:textId="77777777" w:rsidR="00D44B23" w:rsidRPr="009A5795" w:rsidRDefault="00D44B23" w:rsidP="005B3AD7">
            <w:pPr>
              <w:jc w:val="right"/>
              <w:rPr>
                <w:rFonts w:ascii="Constantia" w:hAnsi="Constantia"/>
                <w:b/>
                <w:bCs/>
              </w:rPr>
            </w:pPr>
            <w:r w:rsidRPr="009A5795">
              <w:rPr>
                <w:rFonts w:ascii="Constantia" w:hAnsi="Constantia"/>
                <w:b/>
                <w:bCs/>
              </w:rPr>
              <w:t>2 461 549</w:t>
            </w:r>
          </w:p>
        </w:tc>
        <w:tc>
          <w:tcPr>
            <w:tcW w:w="1417" w:type="dxa"/>
            <w:tcBorders>
              <w:top w:val="nil"/>
              <w:left w:val="nil"/>
              <w:bottom w:val="single" w:sz="8" w:space="0" w:color="auto"/>
              <w:right w:val="single" w:sz="8" w:space="0" w:color="auto"/>
            </w:tcBorders>
            <w:shd w:val="clear" w:color="auto" w:fill="auto"/>
            <w:noWrap/>
            <w:vAlign w:val="bottom"/>
            <w:hideMark/>
          </w:tcPr>
          <w:p w14:paraId="18661234" w14:textId="77777777" w:rsidR="00D44B23" w:rsidRPr="009A5795" w:rsidRDefault="00D44B23" w:rsidP="005B3AD7">
            <w:pPr>
              <w:jc w:val="right"/>
              <w:rPr>
                <w:rFonts w:ascii="Constantia" w:hAnsi="Constantia"/>
                <w:b/>
                <w:bCs/>
              </w:rPr>
            </w:pPr>
            <w:r w:rsidRPr="009A5795">
              <w:rPr>
                <w:rFonts w:ascii="Constantia" w:hAnsi="Constantia"/>
                <w:b/>
                <w:bCs/>
              </w:rPr>
              <w:t>1 142 418</w:t>
            </w:r>
          </w:p>
        </w:tc>
        <w:tc>
          <w:tcPr>
            <w:tcW w:w="1559" w:type="dxa"/>
            <w:gridSpan w:val="2"/>
            <w:tcBorders>
              <w:top w:val="nil"/>
              <w:left w:val="nil"/>
              <w:bottom w:val="single" w:sz="8" w:space="0" w:color="auto"/>
              <w:right w:val="single" w:sz="4" w:space="0" w:color="auto"/>
            </w:tcBorders>
            <w:shd w:val="clear" w:color="auto" w:fill="auto"/>
            <w:noWrap/>
            <w:vAlign w:val="bottom"/>
            <w:hideMark/>
          </w:tcPr>
          <w:p w14:paraId="1ED51927" w14:textId="77777777" w:rsidR="00D44B23" w:rsidRPr="009A5795" w:rsidRDefault="00D44B23" w:rsidP="005B3AD7">
            <w:pPr>
              <w:jc w:val="right"/>
              <w:rPr>
                <w:rFonts w:ascii="Constantia" w:hAnsi="Constantia"/>
                <w:b/>
                <w:bCs/>
              </w:rPr>
            </w:pPr>
            <w:r w:rsidRPr="009A5795">
              <w:rPr>
                <w:rFonts w:ascii="Constantia" w:hAnsi="Constantia"/>
                <w:b/>
                <w:bCs/>
              </w:rPr>
              <w:t>228,82%</w:t>
            </w:r>
          </w:p>
        </w:tc>
        <w:tc>
          <w:tcPr>
            <w:tcW w:w="1418" w:type="dxa"/>
            <w:tcBorders>
              <w:top w:val="nil"/>
              <w:left w:val="nil"/>
              <w:bottom w:val="single" w:sz="8" w:space="0" w:color="auto"/>
              <w:right w:val="single" w:sz="8" w:space="0" w:color="auto"/>
            </w:tcBorders>
            <w:shd w:val="clear" w:color="auto" w:fill="auto"/>
            <w:noWrap/>
            <w:vAlign w:val="bottom"/>
            <w:hideMark/>
          </w:tcPr>
          <w:p w14:paraId="7032B2D9" w14:textId="77777777" w:rsidR="00D44B23" w:rsidRPr="009A5795" w:rsidRDefault="00D44B23" w:rsidP="005B3AD7">
            <w:pPr>
              <w:jc w:val="right"/>
              <w:rPr>
                <w:rFonts w:ascii="Constantia" w:hAnsi="Constantia"/>
                <w:b/>
                <w:bCs/>
              </w:rPr>
            </w:pPr>
            <w:r w:rsidRPr="009A5795">
              <w:rPr>
                <w:rFonts w:ascii="Constantia" w:hAnsi="Constantia"/>
                <w:b/>
                <w:bCs/>
              </w:rPr>
              <w:t>46,41%</w:t>
            </w:r>
          </w:p>
        </w:tc>
      </w:tr>
    </w:tbl>
    <w:p w14:paraId="0F2002EF" w14:textId="77777777" w:rsidR="00D44B23" w:rsidRPr="009A5795" w:rsidRDefault="00D44B23" w:rsidP="00D44B23">
      <w:pPr>
        <w:spacing w:before="240"/>
        <w:jc w:val="both"/>
        <w:rPr>
          <w:rFonts w:ascii="Constantia" w:hAnsi="Constantia"/>
        </w:rPr>
      </w:pPr>
      <w:r w:rsidRPr="009A5795">
        <w:rPr>
          <w:rFonts w:ascii="Constantia" w:hAnsi="Constantia"/>
        </w:rPr>
        <w:t xml:space="preserve">A személyi jellegű ráfordítások teljesülése 69,68% a tervhez képest. </w:t>
      </w:r>
    </w:p>
    <w:p w14:paraId="5CA1E7DC" w14:textId="77777777" w:rsidR="007A1AC2" w:rsidRDefault="007A1AC2" w:rsidP="008644E1">
      <w:pPr>
        <w:jc w:val="both"/>
        <w:rPr>
          <w:rFonts w:ascii="Constantia" w:hAnsi="Constantia"/>
          <w:bCs/>
          <w:color w:val="FF0000"/>
        </w:rPr>
      </w:pPr>
    </w:p>
    <w:p w14:paraId="23ECF3FB" w14:textId="77777777" w:rsidR="00B72697" w:rsidRDefault="00B72697" w:rsidP="008644E1">
      <w:pPr>
        <w:jc w:val="both"/>
        <w:rPr>
          <w:rFonts w:ascii="Constantia" w:hAnsi="Constantia"/>
          <w:bCs/>
          <w:color w:val="FF0000"/>
        </w:rPr>
      </w:pPr>
    </w:p>
    <w:p w14:paraId="05F515A6" w14:textId="77777777" w:rsidR="00427699" w:rsidRDefault="00427699" w:rsidP="008644E1">
      <w:pPr>
        <w:jc w:val="both"/>
        <w:rPr>
          <w:rFonts w:ascii="Constantia" w:hAnsi="Constantia"/>
          <w:bCs/>
          <w:color w:val="FF0000"/>
        </w:rPr>
      </w:pPr>
    </w:p>
    <w:p w14:paraId="534CDCF1" w14:textId="77777777" w:rsidR="00427699" w:rsidRDefault="00427699" w:rsidP="008644E1">
      <w:pPr>
        <w:jc w:val="both"/>
        <w:rPr>
          <w:rFonts w:ascii="Constantia" w:hAnsi="Constantia"/>
          <w:bCs/>
          <w:color w:val="FF0000"/>
        </w:rPr>
      </w:pPr>
    </w:p>
    <w:p w14:paraId="0B0F1C99" w14:textId="2C39F30A" w:rsidR="00427699" w:rsidRPr="00B72697" w:rsidRDefault="00B72697" w:rsidP="008644E1">
      <w:pPr>
        <w:jc w:val="both"/>
        <w:rPr>
          <w:rFonts w:ascii="Constantia" w:hAnsi="Constantia"/>
          <w:b/>
          <w:color w:val="000000" w:themeColor="text1"/>
        </w:rPr>
      </w:pPr>
      <w:r w:rsidRPr="00B72697">
        <w:rPr>
          <w:rFonts w:ascii="Constantia" w:hAnsi="Constantia"/>
          <w:b/>
          <w:color w:val="000000" w:themeColor="text1"/>
        </w:rPr>
        <w:lastRenderedPageBreak/>
        <w:t xml:space="preserve">A Társaság 2024. évi eredménykimutatása a 2024. </w:t>
      </w:r>
      <w:r w:rsidR="00CA23E8">
        <w:rPr>
          <w:rFonts w:ascii="Constantia" w:hAnsi="Constantia"/>
          <w:b/>
          <w:color w:val="000000" w:themeColor="text1"/>
        </w:rPr>
        <w:t>I-III</w:t>
      </w:r>
      <w:r w:rsidRPr="00B72697">
        <w:rPr>
          <w:rFonts w:ascii="Constantia" w:hAnsi="Constantia"/>
          <w:b/>
          <w:color w:val="000000" w:themeColor="text1"/>
        </w:rPr>
        <w:t>. negyedéves tényadatok alapján az alábbiak szerint alakul:</w:t>
      </w:r>
    </w:p>
    <w:p w14:paraId="65E45E62" w14:textId="77777777" w:rsidR="00B72697" w:rsidRPr="00074C36" w:rsidRDefault="00B72697" w:rsidP="008644E1">
      <w:pPr>
        <w:jc w:val="both"/>
        <w:rPr>
          <w:rFonts w:ascii="Constantia" w:hAnsi="Constantia"/>
          <w:bCs/>
          <w:color w:val="FF0000"/>
        </w:rPr>
      </w:pPr>
    </w:p>
    <w:p w14:paraId="54214270" w14:textId="7907CD01" w:rsidR="00B72697" w:rsidRDefault="0019026C" w:rsidP="00427699">
      <w:pPr>
        <w:jc w:val="both"/>
        <w:rPr>
          <w:rFonts w:ascii="Constantia" w:hAnsi="Constantia"/>
        </w:rPr>
      </w:pPr>
      <w:r w:rsidRPr="0019026C">
        <w:rPr>
          <w:noProof/>
        </w:rPr>
        <w:drawing>
          <wp:inline distT="0" distB="0" distL="0" distR="0" wp14:anchorId="54102984" wp14:editId="45F8A3A8">
            <wp:extent cx="5760085" cy="5452745"/>
            <wp:effectExtent l="0" t="0" r="0" b="0"/>
            <wp:docPr id="259753700"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085" cy="5452745"/>
                    </a:xfrm>
                    <a:prstGeom prst="rect">
                      <a:avLst/>
                    </a:prstGeom>
                    <a:noFill/>
                    <a:ln>
                      <a:noFill/>
                    </a:ln>
                  </pic:spPr>
                </pic:pic>
              </a:graphicData>
            </a:graphic>
          </wp:inline>
        </w:drawing>
      </w:r>
    </w:p>
    <w:p w14:paraId="3451DE05" w14:textId="77777777" w:rsidR="00B72697" w:rsidRDefault="00B72697" w:rsidP="00427699">
      <w:pPr>
        <w:jc w:val="both"/>
        <w:rPr>
          <w:rFonts w:ascii="Constantia" w:hAnsi="Constantia"/>
        </w:rPr>
      </w:pPr>
    </w:p>
    <w:p w14:paraId="68674AD2" w14:textId="77777777" w:rsidR="00B72697" w:rsidRDefault="00B72697" w:rsidP="00427699">
      <w:pPr>
        <w:jc w:val="both"/>
        <w:rPr>
          <w:rFonts w:ascii="Constantia" w:hAnsi="Constantia"/>
        </w:rPr>
      </w:pPr>
    </w:p>
    <w:p w14:paraId="01FFC238" w14:textId="07C9EBCA" w:rsidR="00427699" w:rsidRDefault="00427699" w:rsidP="00427699">
      <w:pPr>
        <w:jc w:val="both"/>
        <w:rPr>
          <w:rFonts w:ascii="Constantia" w:hAnsi="Constantia"/>
          <w:b/>
        </w:rPr>
      </w:pPr>
      <w:r w:rsidRPr="009A5795">
        <w:rPr>
          <w:rFonts w:ascii="Constantia" w:hAnsi="Constantia"/>
        </w:rPr>
        <w:t xml:space="preserve">Az EVAT Zrt. </w:t>
      </w:r>
      <w:r w:rsidRPr="009A5795">
        <w:rPr>
          <w:rFonts w:ascii="Constantia" w:hAnsi="Constantia"/>
          <w:b/>
        </w:rPr>
        <w:t>2024. I-III. negyedévben -40.724 E Ft (veszteség) eredménnyel zárta az időszakot.</w:t>
      </w:r>
    </w:p>
    <w:p w14:paraId="4BCA7CD7" w14:textId="77777777" w:rsidR="00427699" w:rsidRDefault="00427699" w:rsidP="00427699">
      <w:pPr>
        <w:jc w:val="both"/>
        <w:rPr>
          <w:rFonts w:ascii="Constantia" w:hAnsi="Constantia"/>
          <w:b/>
        </w:rPr>
      </w:pPr>
    </w:p>
    <w:p w14:paraId="32241B2D" w14:textId="7A2F6AC2" w:rsidR="00427699" w:rsidRDefault="00427699" w:rsidP="00427699">
      <w:pPr>
        <w:jc w:val="both"/>
        <w:rPr>
          <w:rFonts w:ascii="Constantia" w:hAnsi="Constantia"/>
        </w:rPr>
      </w:pPr>
      <w:r w:rsidRPr="00953BFF">
        <w:rPr>
          <w:rFonts w:ascii="Constantia" w:hAnsi="Constantia"/>
        </w:rPr>
        <w:t>Az EVAT Zrt. gazdasági tevékenységének döntő hányadát nem piaci keretek között végzi. Fő tevékenység a távhő, amely szolgáltatási árait, valamint a szolgáltatáshoz szükséges vásárolt hő árát miniszteri rendelet szabályozza. Eger Megyei Jogú Város Önkormányzatának megbízásából végzett tevékenységek (parkolási tevékenység, önkormányzati tulajdonú ingatlanok hasznosítása) kereteit központi jogszabályok és helyi rendeletek határozzák meg. Az eredmény növelése az árbevételi korlátok miatt, elsősorban szigorú és átgondolt költségracionalizálással, az erőforrásokkal történő ésszerű gazdálkodással lehetséges.</w:t>
      </w:r>
    </w:p>
    <w:p w14:paraId="2E335A60" w14:textId="77777777" w:rsidR="00427699" w:rsidRDefault="00427699" w:rsidP="00427699">
      <w:pPr>
        <w:jc w:val="both"/>
        <w:rPr>
          <w:rFonts w:ascii="Constantia" w:hAnsi="Constantia"/>
        </w:rPr>
      </w:pPr>
    </w:p>
    <w:p w14:paraId="384C69DA" w14:textId="77777777" w:rsidR="0019026C" w:rsidRPr="00953BFF" w:rsidRDefault="0019026C" w:rsidP="00427699">
      <w:pPr>
        <w:jc w:val="both"/>
        <w:rPr>
          <w:rFonts w:ascii="Constantia" w:hAnsi="Constantia"/>
        </w:rPr>
      </w:pPr>
    </w:p>
    <w:p w14:paraId="031EE43A" w14:textId="77777777" w:rsidR="00427699" w:rsidRPr="009A5795" w:rsidRDefault="00427699" w:rsidP="00427699">
      <w:pPr>
        <w:jc w:val="both"/>
        <w:rPr>
          <w:rFonts w:ascii="Constantia" w:hAnsi="Constantia"/>
          <w:b/>
          <w:bCs/>
          <w:u w:val="single"/>
        </w:rPr>
      </w:pPr>
      <w:r w:rsidRPr="009A5795">
        <w:rPr>
          <w:rFonts w:ascii="Constantia" w:hAnsi="Constantia"/>
          <w:b/>
          <w:bCs/>
          <w:u w:val="single"/>
        </w:rPr>
        <w:lastRenderedPageBreak/>
        <w:t>A Zrt. 2024. évi gazdálkodását jelentősen befolyásoló, főbb kiemelt tételek:</w:t>
      </w:r>
    </w:p>
    <w:p w14:paraId="53264642" w14:textId="49AF1BE0" w:rsidR="00427699" w:rsidRPr="00953BFF" w:rsidRDefault="00427699" w:rsidP="00427699">
      <w:pPr>
        <w:pStyle w:val="Listaszerbekezds"/>
        <w:numPr>
          <w:ilvl w:val="0"/>
          <w:numId w:val="12"/>
        </w:numPr>
        <w:tabs>
          <w:tab w:val="left" w:pos="7980"/>
        </w:tabs>
        <w:spacing w:before="240" w:after="160" w:line="259" w:lineRule="auto"/>
        <w:jc w:val="both"/>
        <w:rPr>
          <w:rFonts w:ascii="Constantia" w:hAnsi="Constantia"/>
          <w:b/>
          <w:bCs/>
        </w:rPr>
      </w:pPr>
      <w:r>
        <w:rPr>
          <w:rFonts w:ascii="Constantia" w:hAnsi="Constantia"/>
        </w:rPr>
        <w:t xml:space="preserve">A </w:t>
      </w:r>
      <w:r w:rsidRPr="00953BFF">
        <w:rPr>
          <w:rFonts w:ascii="Constantia" w:hAnsi="Constantia"/>
        </w:rPr>
        <w:t xml:space="preserve">Társaság fő tevékenysége a táhőszolgáltatás, amelynek szolgáltatási árait miniszteri rendelet szabályozza.  A tevékenység költségein belül a legjelentősebb tétel az energia költség. Az energia piacon 2022. év végén történt drasztikus áremelkedés után az árak mérséklődtek, de a költségek még így is többszöröse a két évvel ezelőttinek. A távhőszolgáltatás egyik bevételi forrása a szolgáltatást igénybe vevők felé kiszámlázott alapdíj és hődíj. Az árbevétel másik forrása a távhőtámogatás. A lakossági felhasználóknak értékesített hőmennyiség után járó fajlagos támogatás összege 10.904 Ft/GJ, míg a havi fix összegű támogatás 27.481 E Ft/hó. </w:t>
      </w:r>
      <w:r w:rsidRPr="00953BFF">
        <w:rPr>
          <w:rFonts w:ascii="Constantia" w:hAnsi="Constantia"/>
          <w:b/>
          <w:bCs/>
        </w:rPr>
        <w:t>Az üzleti terv készítésekor rendelkezésre álló adatok alapján a tevékenység tervezett eredménye: -125.825 E Ft.</w:t>
      </w:r>
    </w:p>
    <w:p w14:paraId="7E622CDD" w14:textId="77777777" w:rsidR="00427699" w:rsidRPr="00953BFF" w:rsidRDefault="00427699" w:rsidP="00427699">
      <w:pPr>
        <w:pStyle w:val="Listaszerbekezds"/>
        <w:tabs>
          <w:tab w:val="left" w:pos="7980"/>
        </w:tabs>
        <w:spacing w:before="240"/>
        <w:jc w:val="both"/>
        <w:rPr>
          <w:rFonts w:ascii="Constantia" w:hAnsi="Constantia"/>
        </w:rPr>
      </w:pPr>
    </w:p>
    <w:p w14:paraId="176017CB" w14:textId="47B348E9" w:rsidR="00427699" w:rsidRPr="00953BFF" w:rsidRDefault="00427699" w:rsidP="00427699">
      <w:pPr>
        <w:pStyle w:val="Listaszerbekezds"/>
        <w:numPr>
          <w:ilvl w:val="0"/>
          <w:numId w:val="12"/>
        </w:numPr>
        <w:ind w:left="714" w:hanging="357"/>
        <w:jc w:val="both"/>
        <w:rPr>
          <w:rFonts w:ascii="Constantia" w:hAnsi="Constantia"/>
        </w:rPr>
      </w:pPr>
      <w:r w:rsidRPr="00953BFF">
        <w:rPr>
          <w:rFonts w:ascii="Constantia" w:hAnsi="Constantia"/>
          <w:color w:val="000000" w:themeColor="text1"/>
        </w:rPr>
        <w:t xml:space="preserve">Kiemelt feladat a szükséges karbantartások elvégzése, mely főleg a </w:t>
      </w:r>
      <w:r>
        <w:rPr>
          <w:rFonts w:ascii="Constantia" w:hAnsi="Constantia"/>
          <w:color w:val="000000" w:themeColor="text1"/>
        </w:rPr>
        <w:t xml:space="preserve">Társaság </w:t>
      </w:r>
      <w:r w:rsidRPr="00953BFF">
        <w:rPr>
          <w:rFonts w:ascii="Constantia" w:hAnsi="Constantia"/>
          <w:color w:val="000000" w:themeColor="text1"/>
        </w:rPr>
        <w:t>saját vagyon</w:t>
      </w:r>
      <w:r>
        <w:rPr>
          <w:rFonts w:ascii="Constantia" w:hAnsi="Constantia"/>
          <w:color w:val="000000" w:themeColor="text1"/>
        </w:rPr>
        <w:t>a</w:t>
      </w:r>
      <w:r w:rsidRPr="00953BFF">
        <w:rPr>
          <w:rFonts w:ascii="Constantia" w:hAnsi="Constantia"/>
          <w:color w:val="000000" w:themeColor="text1"/>
        </w:rPr>
        <w:t xml:space="preserve"> piacképességének biztosítását, értékmegőrzését szolgálja, illetve a távhő divízió területén szintén szükségessé válik minden évben olyan feladatok elvégzése, amelyek a rendszer biztonságos működőképességét biztosítják. Az idei év karbantartási terve 266.644 E Ft összegben került meghatározásra. Ezzel szemben 2024. I-III. negyedévben 57.677 E Ft. költség merült fel. Elsősorban a saját tulajdonú ingatlanok értékmegőrző karbantartása, felújítása maradt el a tervtől (teljesülése 11,94%), csak a szükséges hibaelhárítás, halaszthatatlan javítások lettek elvégezve, figyelemmel a szigorú költséggazdálkodás szempontjára.</w:t>
      </w:r>
    </w:p>
    <w:p w14:paraId="5C7D83D0" w14:textId="77777777" w:rsidR="00427699" w:rsidRPr="00953BFF" w:rsidRDefault="00427699" w:rsidP="00427699">
      <w:pPr>
        <w:jc w:val="both"/>
        <w:rPr>
          <w:rFonts w:ascii="Constantia" w:hAnsi="Constantia"/>
        </w:rPr>
      </w:pPr>
    </w:p>
    <w:p w14:paraId="56369DD3" w14:textId="77777777" w:rsidR="00427699" w:rsidRDefault="00427699" w:rsidP="00427699">
      <w:pPr>
        <w:pStyle w:val="Listaszerbekezds"/>
        <w:numPr>
          <w:ilvl w:val="0"/>
          <w:numId w:val="12"/>
        </w:numPr>
        <w:ind w:left="714" w:hanging="357"/>
        <w:jc w:val="both"/>
        <w:rPr>
          <w:rFonts w:ascii="Constantia" w:hAnsi="Constantia"/>
        </w:rPr>
      </w:pPr>
      <w:r w:rsidRPr="005A4F6D">
        <w:rPr>
          <w:rFonts w:ascii="Constantia" w:hAnsi="Constantia"/>
        </w:rPr>
        <w:t xml:space="preserve">A Katona téri parkolóház havi nettó bérleti díja 5.809 E Ft. A fenntartási költségeket az árbevétel nem fedezi, a jövőben az üzemeltetési feltételek felülvizsgálata szükséges. </w:t>
      </w:r>
      <w:r w:rsidRPr="005A4F6D">
        <w:rPr>
          <w:rFonts w:ascii="Constantia" w:hAnsi="Constantia"/>
          <w:b/>
          <w:bCs/>
        </w:rPr>
        <w:t xml:space="preserve">A tevékenység tervezett eredménye: -74.190 E Ft. </w:t>
      </w:r>
      <w:r w:rsidRPr="005A4F6D">
        <w:rPr>
          <w:rFonts w:ascii="Constantia" w:hAnsi="Constantia"/>
        </w:rPr>
        <w:t>Ezzel kapcsolatban szükséges megjegyezni, hogy a parkolóház üzemeltetésére a Közgyűlés tulajdonosi jogkörben kötelezte az EVAT Zrt.-t a 329/2023. (VI. 22.) kgy. határozattal, azonban az üzemeltetési kötelezettséghez nem társult az Önkormányzat részéről forrásbiztosítás. Ezen helyzet rendezése az Önkormányzat 2025. évi költségvetésében mindenképpen szükséges.</w:t>
      </w:r>
    </w:p>
    <w:p w14:paraId="08518AA3" w14:textId="77777777" w:rsidR="00427699" w:rsidRPr="00B550A9" w:rsidRDefault="00427699" w:rsidP="00427699">
      <w:pPr>
        <w:jc w:val="both"/>
        <w:rPr>
          <w:rFonts w:ascii="Constantia" w:hAnsi="Constantia"/>
        </w:rPr>
      </w:pPr>
    </w:p>
    <w:p w14:paraId="3B4040AB" w14:textId="77777777" w:rsidR="00427699" w:rsidRPr="00953BFF" w:rsidRDefault="00427699" w:rsidP="00427699">
      <w:pPr>
        <w:pStyle w:val="Listaszerbekezds"/>
        <w:numPr>
          <w:ilvl w:val="0"/>
          <w:numId w:val="12"/>
        </w:numPr>
        <w:spacing w:after="160" w:line="259" w:lineRule="auto"/>
        <w:jc w:val="both"/>
        <w:rPr>
          <w:rFonts w:ascii="Constantia" w:hAnsi="Constantia"/>
          <w:b/>
          <w:bCs/>
        </w:rPr>
      </w:pPr>
      <w:r w:rsidRPr="00953BFF">
        <w:rPr>
          <w:rFonts w:ascii="Constantia" w:hAnsi="Constantia"/>
        </w:rPr>
        <w:t xml:space="preserve">A Kopcsik Múzeum és a Tűzoltó Múzeum üzemeltetése jelentős anyagi terhet jelent. A költségek emelkedését nem lehet ellensúlyozni a bevétel növelésével és jelenleg semmilyen támogatási forrás nem áll rendelkezésre a fenntartáshoz, a korábbi évekkel ellentétben, amikor az Önkormányzat éves költségvetése működési célú támogatást biztosított ezen létesítmények fenntartásához. </w:t>
      </w:r>
      <w:r w:rsidRPr="00953BFF">
        <w:rPr>
          <w:rFonts w:ascii="Constantia" w:hAnsi="Constantia"/>
          <w:b/>
          <w:bCs/>
        </w:rPr>
        <w:t>A tevékenység tervezett eredménye: -22.062 E Ft</w:t>
      </w:r>
    </w:p>
    <w:p w14:paraId="2AFDB577" w14:textId="77777777" w:rsidR="00427699" w:rsidRPr="00953BFF" w:rsidRDefault="00427699" w:rsidP="00427699">
      <w:pPr>
        <w:pStyle w:val="Listaszerbekezds"/>
        <w:jc w:val="both"/>
        <w:rPr>
          <w:rFonts w:ascii="Constantia" w:hAnsi="Constantia"/>
          <w:b/>
          <w:bCs/>
        </w:rPr>
      </w:pPr>
    </w:p>
    <w:p w14:paraId="62276BCC" w14:textId="77777777" w:rsidR="00427699" w:rsidRPr="00953BFF" w:rsidRDefault="00427699" w:rsidP="00427699">
      <w:pPr>
        <w:pStyle w:val="Listaszerbekezds"/>
        <w:numPr>
          <w:ilvl w:val="0"/>
          <w:numId w:val="12"/>
        </w:numPr>
        <w:spacing w:before="240"/>
        <w:ind w:left="714" w:hanging="357"/>
        <w:jc w:val="both"/>
        <w:rPr>
          <w:rFonts w:ascii="Constantia" w:hAnsi="Constantia"/>
          <w:b/>
          <w:bCs/>
        </w:rPr>
      </w:pPr>
      <w:r w:rsidRPr="00953BFF">
        <w:rPr>
          <w:rFonts w:ascii="Constantia" w:hAnsi="Constantia"/>
        </w:rPr>
        <w:t xml:space="preserve">AZ EVAT Zrt. a tulajdonában álló, Kistályai u. 18. sz. alatti munkásszállón 2022. márciusától szállást és ellátást biztosít ukrán menedékesek számára, amely után támogatásra jogosult a Társaság. A tevékenység bevétele folyamatosan csökken, egyrészről az ellátott személyek száma fokozatosan csökken, másrészről a támogatásra jogosultak köre is szűkült. </w:t>
      </w:r>
      <w:r w:rsidRPr="00953BFF">
        <w:rPr>
          <w:rFonts w:ascii="Constantia" w:hAnsi="Constantia"/>
          <w:b/>
          <w:bCs/>
        </w:rPr>
        <w:t>A tevékenység tervezett eredménye: -33.027 E Ft</w:t>
      </w:r>
    </w:p>
    <w:p w14:paraId="1D5F5B96" w14:textId="77777777" w:rsidR="00427699" w:rsidRPr="00953BFF" w:rsidRDefault="00427699" w:rsidP="00427699">
      <w:pPr>
        <w:pStyle w:val="Listaszerbekezds"/>
        <w:spacing w:before="240"/>
        <w:ind w:left="714"/>
        <w:jc w:val="both"/>
        <w:rPr>
          <w:rFonts w:ascii="Constantia" w:hAnsi="Constantia"/>
        </w:rPr>
      </w:pPr>
    </w:p>
    <w:p w14:paraId="6E49413D" w14:textId="77777777" w:rsidR="00427699" w:rsidRPr="00953BFF" w:rsidRDefault="00427699" w:rsidP="00427699">
      <w:pPr>
        <w:pStyle w:val="Listaszerbekezds"/>
        <w:numPr>
          <w:ilvl w:val="0"/>
          <w:numId w:val="12"/>
        </w:numPr>
        <w:spacing w:after="160" w:line="259" w:lineRule="auto"/>
        <w:jc w:val="both"/>
        <w:rPr>
          <w:rFonts w:ascii="Constantia" w:hAnsi="Constantia"/>
        </w:rPr>
      </w:pPr>
      <w:r w:rsidRPr="00953BFF">
        <w:rPr>
          <w:rFonts w:ascii="Constantia" w:hAnsi="Constantia"/>
          <w:color w:val="000000" w:themeColor="text1"/>
        </w:rPr>
        <w:t xml:space="preserve">Az Agria Vállalkozói parkban kialakított telephelyek nagy hányada értékesítésre került. A bérbeadásból származó bevételek, a céget terhelő fenntartási költségek, értékcsökkenés együttes hatásaként </w:t>
      </w:r>
      <w:r w:rsidRPr="00953BFF">
        <w:rPr>
          <w:rFonts w:ascii="Constantia" w:hAnsi="Constantia"/>
          <w:b/>
          <w:bCs/>
          <w:color w:val="000000" w:themeColor="text1"/>
        </w:rPr>
        <w:t>a tervezett idei évi eredmény -18.419 E Ft.</w:t>
      </w:r>
      <w:r w:rsidRPr="00953BFF">
        <w:rPr>
          <w:rFonts w:ascii="Constantia" w:hAnsi="Constantia"/>
          <w:color w:val="000000" w:themeColor="text1"/>
        </w:rPr>
        <w:t xml:space="preserve"> </w:t>
      </w:r>
    </w:p>
    <w:p w14:paraId="4D371ECD" w14:textId="77777777" w:rsidR="00381F1F" w:rsidRPr="00074C36" w:rsidRDefault="00381F1F" w:rsidP="0076719E">
      <w:pPr>
        <w:jc w:val="both"/>
        <w:rPr>
          <w:rFonts w:ascii="Constantia" w:hAnsi="Constantia"/>
          <w:color w:val="FF0000"/>
        </w:rPr>
      </w:pPr>
    </w:p>
    <w:p w14:paraId="56A56FB2" w14:textId="77777777" w:rsidR="00A95CB2" w:rsidRPr="00074C36" w:rsidRDefault="00A95CB2" w:rsidP="0076719E">
      <w:pPr>
        <w:jc w:val="both"/>
        <w:rPr>
          <w:rFonts w:ascii="Constantia" w:hAnsi="Constantia"/>
          <w:b/>
          <w:color w:val="FF0000"/>
        </w:rPr>
      </w:pPr>
    </w:p>
    <w:p w14:paraId="23BAD59C" w14:textId="677977C8" w:rsidR="0076719E" w:rsidRPr="00576381" w:rsidRDefault="0076719E" w:rsidP="0076719E">
      <w:pPr>
        <w:jc w:val="both"/>
        <w:rPr>
          <w:rFonts w:ascii="Constantia" w:hAnsi="Constantia"/>
          <w:b/>
        </w:rPr>
      </w:pPr>
      <w:r w:rsidRPr="00576381">
        <w:rPr>
          <w:rFonts w:ascii="Constantia" w:hAnsi="Constantia"/>
          <w:b/>
        </w:rPr>
        <w:t>Kérem a Tisztelt Közgyűlést</w:t>
      </w:r>
      <w:r w:rsidR="00534DDC">
        <w:rPr>
          <w:rFonts w:ascii="Constantia" w:hAnsi="Constantia"/>
          <w:b/>
        </w:rPr>
        <w:t>ől a tájékoztató szíves tudomásulvételét</w:t>
      </w:r>
      <w:r w:rsidRPr="00576381">
        <w:rPr>
          <w:rFonts w:ascii="Constantia" w:hAnsi="Constantia"/>
          <w:b/>
        </w:rPr>
        <w:t>.</w:t>
      </w:r>
    </w:p>
    <w:p w14:paraId="51A18242" w14:textId="77777777" w:rsidR="0094518D" w:rsidRPr="00074C36" w:rsidRDefault="0094518D" w:rsidP="0094518D">
      <w:pPr>
        <w:rPr>
          <w:rFonts w:ascii="Constantia" w:hAnsi="Constantia"/>
          <w:color w:val="FF0000"/>
        </w:rPr>
      </w:pPr>
    </w:p>
    <w:p w14:paraId="3C0F0DD8" w14:textId="77777777" w:rsidR="005B6E0C" w:rsidRPr="00074C36" w:rsidRDefault="005B6E0C" w:rsidP="0094518D">
      <w:pPr>
        <w:rPr>
          <w:rFonts w:ascii="Constantia" w:hAnsi="Constantia"/>
          <w:color w:val="FF0000"/>
        </w:rPr>
      </w:pPr>
    </w:p>
    <w:p w14:paraId="2892F894" w14:textId="1E9E2A0A" w:rsidR="00342CC2" w:rsidRPr="00D57C53" w:rsidRDefault="00B9573E" w:rsidP="0094518D">
      <w:pPr>
        <w:rPr>
          <w:rFonts w:ascii="Constantia" w:hAnsi="Constantia"/>
        </w:rPr>
      </w:pPr>
      <w:r w:rsidRPr="00D57C53">
        <w:rPr>
          <w:rFonts w:ascii="Constantia" w:hAnsi="Constantia"/>
        </w:rPr>
        <w:t>Eger, 20</w:t>
      </w:r>
      <w:r w:rsidR="00CF640A" w:rsidRPr="00D57C53">
        <w:rPr>
          <w:rFonts w:ascii="Constantia" w:hAnsi="Constantia"/>
        </w:rPr>
        <w:t>2</w:t>
      </w:r>
      <w:r w:rsidR="002A4717">
        <w:rPr>
          <w:rFonts w:ascii="Constantia" w:hAnsi="Constantia"/>
        </w:rPr>
        <w:t xml:space="preserve">4. </w:t>
      </w:r>
      <w:r w:rsidR="00534DDC">
        <w:rPr>
          <w:rFonts w:ascii="Constantia" w:hAnsi="Constantia"/>
        </w:rPr>
        <w:t>november</w:t>
      </w:r>
      <w:r w:rsidR="00EE53A2">
        <w:rPr>
          <w:rFonts w:ascii="Constantia" w:hAnsi="Constantia"/>
        </w:rPr>
        <w:t xml:space="preserve"> </w:t>
      </w:r>
      <w:r w:rsidR="00A30EE9">
        <w:rPr>
          <w:rFonts w:ascii="Constantia" w:hAnsi="Constantia"/>
        </w:rPr>
        <w:t>20</w:t>
      </w:r>
      <w:r w:rsidR="00EE53A2">
        <w:rPr>
          <w:rFonts w:ascii="Constantia" w:hAnsi="Constantia"/>
        </w:rPr>
        <w:t>.</w:t>
      </w:r>
    </w:p>
    <w:p w14:paraId="295708D4" w14:textId="77777777" w:rsidR="00DE0CC6" w:rsidRPr="00074C36" w:rsidRDefault="00DE0CC6" w:rsidP="0094518D">
      <w:pPr>
        <w:rPr>
          <w:rFonts w:ascii="Constantia" w:hAnsi="Constantia"/>
          <w:color w:val="FF0000"/>
        </w:rPr>
      </w:pPr>
    </w:p>
    <w:p w14:paraId="0AFA764D" w14:textId="77777777" w:rsidR="00A6199E" w:rsidRPr="00074C36" w:rsidRDefault="00A6199E" w:rsidP="0094518D">
      <w:pPr>
        <w:rPr>
          <w:rFonts w:ascii="Constantia" w:hAnsi="Constantia"/>
          <w:color w:val="FF0000"/>
        </w:rPr>
      </w:pPr>
    </w:p>
    <w:p w14:paraId="45990DD0" w14:textId="1EC0B9F7" w:rsidR="0094518D" w:rsidRPr="00FB0057" w:rsidRDefault="00EE53A2" w:rsidP="0094518D">
      <w:pPr>
        <w:ind w:left="4820"/>
        <w:jc w:val="center"/>
        <w:rPr>
          <w:rFonts w:ascii="Constantia" w:hAnsi="Constantia"/>
          <w:b/>
        </w:rPr>
      </w:pPr>
      <w:r>
        <w:rPr>
          <w:rFonts w:ascii="Constantia" w:hAnsi="Constantia"/>
          <w:b/>
        </w:rPr>
        <w:t>Vágner Ákos</w:t>
      </w:r>
    </w:p>
    <w:p w14:paraId="1BB3B3FD" w14:textId="77777777" w:rsidR="0094518D" w:rsidRPr="00FB0057" w:rsidRDefault="0094518D" w:rsidP="0094518D">
      <w:pPr>
        <w:ind w:left="4820"/>
        <w:jc w:val="center"/>
        <w:rPr>
          <w:rFonts w:ascii="Constantia" w:hAnsi="Constantia"/>
        </w:rPr>
      </w:pPr>
      <w:r w:rsidRPr="00FB0057">
        <w:rPr>
          <w:rFonts w:ascii="Constantia" w:hAnsi="Constantia"/>
        </w:rPr>
        <w:t>Eger Megyei Jogú Város</w:t>
      </w:r>
    </w:p>
    <w:p w14:paraId="580CB911" w14:textId="77777777" w:rsidR="0094518D" w:rsidRPr="00FB0057" w:rsidRDefault="00B9573E" w:rsidP="0094518D">
      <w:pPr>
        <w:ind w:left="4820"/>
        <w:jc w:val="center"/>
        <w:rPr>
          <w:rFonts w:ascii="Constantia" w:hAnsi="Constantia"/>
        </w:rPr>
      </w:pPr>
      <w:r w:rsidRPr="00FB0057">
        <w:rPr>
          <w:rFonts w:ascii="Constantia" w:hAnsi="Constantia"/>
        </w:rPr>
        <w:t>P</w:t>
      </w:r>
      <w:r w:rsidR="0094518D" w:rsidRPr="00FB0057">
        <w:rPr>
          <w:rFonts w:ascii="Constantia" w:hAnsi="Constantia"/>
        </w:rPr>
        <w:t>olgármestere</w:t>
      </w:r>
    </w:p>
    <w:p w14:paraId="45E5DF6D" w14:textId="77777777" w:rsidR="0076719E" w:rsidRDefault="0076719E" w:rsidP="0076719E">
      <w:pPr>
        <w:jc w:val="both"/>
        <w:rPr>
          <w:rFonts w:ascii="Constantia" w:hAnsi="Constantia"/>
          <w:b/>
          <w:color w:val="FF0000"/>
          <w:u w:val="single"/>
        </w:rPr>
      </w:pPr>
    </w:p>
    <w:p w14:paraId="67DCB797" w14:textId="42FC0D9D" w:rsidR="00653F4D" w:rsidRPr="00534DDC" w:rsidRDefault="00653F4D" w:rsidP="00534DDC">
      <w:pPr>
        <w:jc w:val="both"/>
        <w:rPr>
          <w:rFonts w:ascii="Constantia" w:hAnsi="Constantia"/>
          <w:b/>
        </w:rPr>
      </w:pPr>
    </w:p>
    <w:sectPr w:rsidR="00653F4D" w:rsidRPr="00534DDC" w:rsidSect="00440DC4">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BBF54F" w14:textId="77777777" w:rsidR="00D366FA" w:rsidRDefault="00D366FA" w:rsidP="00D366FA">
      <w:r>
        <w:separator/>
      </w:r>
    </w:p>
  </w:endnote>
  <w:endnote w:type="continuationSeparator" w:id="0">
    <w:p w14:paraId="131BDC7B" w14:textId="77777777" w:rsidR="00D366FA" w:rsidRDefault="00D366FA" w:rsidP="00D36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3885057"/>
      <w:docPartObj>
        <w:docPartGallery w:val="Page Numbers (Bottom of Page)"/>
        <w:docPartUnique/>
      </w:docPartObj>
    </w:sdtPr>
    <w:sdtEndPr/>
    <w:sdtContent>
      <w:p w14:paraId="4A8C0EA3" w14:textId="77777777" w:rsidR="00D366FA" w:rsidRDefault="00D366FA">
        <w:pPr>
          <w:pStyle w:val="llb"/>
          <w:jc w:val="center"/>
        </w:pPr>
        <w:r>
          <w:fldChar w:fldCharType="begin"/>
        </w:r>
        <w:r>
          <w:instrText>PAGE   \* MERGEFORMAT</w:instrText>
        </w:r>
        <w:r>
          <w:fldChar w:fldCharType="separate"/>
        </w:r>
        <w:r w:rsidR="00592DD9">
          <w:rPr>
            <w:noProof/>
          </w:rPr>
          <w:t>3</w:t>
        </w:r>
        <w:r>
          <w:fldChar w:fldCharType="end"/>
        </w:r>
      </w:p>
    </w:sdtContent>
  </w:sdt>
  <w:p w14:paraId="7A1A51D0" w14:textId="77777777" w:rsidR="00D366FA" w:rsidRDefault="00D366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7C2B3F" w14:textId="77777777" w:rsidR="00D366FA" w:rsidRDefault="00D366FA" w:rsidP="00D366FA">
      <w:r>
        <w:separator/>
      </w:r>
    </w:p>
  </w:footnote>
  <w:footnote w:type="continuationSeparator" w:id="0">
    <w:p w14:paraId="03526F14" w14:textId="77777777" w:rsidR="00D366FA" w:rsidRDefault="00D366FA" w:rsidP="00D366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4E6DB4"/>
    <w:multiLevelType w:val="hybridMultilevel"/>
    <w:tmpl w:val="AD86612E"/>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2B077341"/>
    <w:multiLevelType w:val="hybridMultilevel"/>
    <w:tmpl w:val="EE24846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3E9293B"/>
    <w:multiLevelType w:val="hybridMultilevel"/>
    <w:tmpl w:val="7AD81C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9660A64"/>
    <w:multiLevelType w:val="hybridMultilevel"/>
    <w:tmpl w:val="B0B6B9E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4F010E80"/>
    <w:multiLevelType w:val="hybridMultilevel"/>
    <w:tmpl w:val="0B2036E2"/>
    <w:lvl w:ilvl="0" w:tplc="274C0060">
      <w:numFmt w:val="bullet"/>
      <w:lvlText w:val="-"/>
      <w:lvlJc w:val="left"/>
      <w:pPr>
        <w:tabs>
          <w:tab w:val="num" w:pos="786"/>
        </w:tabs>
        <w:ind w:left="786"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0010196"/>
    <w:multiLevelType w:val="hybridMultilevel"/>
    <w:tmpl w:val="06CC0034"/>
    <w:lvl w:ilvl="0" w:tplc="274C0060">
      <w:numFmt w:val="bullet"/>
      <w:lvlText w:val="-"/>
      <w:lvlJc w:val="left"/>
      <w:pPr>
        <w:tabs>
          <w:tab w:val="num" w:pos="1440"/>
        </w:tabs>
        <w:ind w:left="144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E7CB9"/>
    <w:multiLevelType w:val="hybridMultilevel"/>
    <w:tmpl w:val="55446BFE"/>
    <w:lvl w:ilvl="0" w:tplc="E4DC49C4">
      <w:numFmt w:val="bullet"/>
      <w:lvlText w:val="-"/>
      <w:lvlJc w:val="left"/>
      <w:pPr>
        <w:ind w:left="720" w:hanging="360"/>
      </w:pPr>
      <w:rPr>
        <w:rFonts w:ascii="Aptos" w:eastAsiaTheme="minorHAnsi" w:hAnsi="Aptos"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61525EAF"/>
    <w:multiLevelType w:val="hybridMultilevel"/>
    <w:tmpl w:val="9076A86A"/>
    <w:lvl w:ilvl="0" w:tplc="7A34B97A">
      <w:start w:val="1"/>
      <w:numFmt w:val="decimal"/>
      <w:lvlText w:val="%1."/>
      <w:lvlJc w:val="left"/>
      <w:pPr>
        <w:ind w:left="1068" w:hanging="360"/>
      </w:pPr>
      <w:rPr>
        <w:rFonts w:eastAsia="Calibri" w:cs="Calibri"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8" w15:restartNumberingAfterBreak="0">
    <w:nsid w:val="64BC5112"/>
    <w:multiLevelType w:val="hybridMultilevel"/>
    <w:tmpl w:val="8B3CE75E"/>
    <w:lvl w:ilvl="0" w:tplc="522CD43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D8F62BE"/>
    <w:multiLevelType w:val="hybridMultilevel"/>
    <w:tmpl w:val="FB86F3F6"/>
    <w:lvl w:ilvl="0" w:tplc="A8684C1A">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0" w15:restartNumberingAfterBreak="0">
    <w:nsid w:val="710F1545"/>
    <w:multiLevelType w:val="hybridMultilevel"/>
    <w:tmpl w:val="3406438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4146374"/>
    <w:multiLevelType w:val="hybridMultilevel"/>
    <w:tmpl w:val="E3362E76"/>
    <w:lvl w:ilvl="0" w:tplc="4D7AB680">
      <w:numFmt w:val="bullet"/>
      <w:lvlText w:val="-"/>
      <w:lvlJc w:val="left"/>
      <w:pPr>
        <w:ind w:left="420" w:hanging="360"/>
      </w:pPr>
      <w:rPr>
        <w:rFonts w:ascii="Constantia" w:eastAsia="Times New Roman" w:hAnsi="Constantia"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num w:numId="1" w16cid:durableId="303433989">
    <w:abstractNumId w:val="3"/>
  </w:num>
  <w:num w:numId="2" w16cid:durableId="1674260575">
    <w:abstractNumId w:val="0"/>
  </w:num>
  <w:num w:numId="3" w16cid:durableId="2061635203">
    <w:abstractNumId w:val="11"/>
  </w:num>
  <w:num w:numId="4" w16cid:durableId="2134203915">
    <w:abstractNumId w:val="2"/>
  </w:num>
  <w:num w:numId="5" w16cid:durableId="1128742795">
    <w:abstractNumId w:val="7"/>
  </w:num>
  <w:num w:numId="6" w16cid:durableId="60754771">
    <w:abstractNumId w:val="10"/>
  </w:num>
  <w:num w:numId="7" w16cid:durableId="988167659">
    <w:abstractNumId w:val="8"/>
  </w:num>
  <w:num w:numId="8" w16cid:durableId="1411736020">
    <w:abstractNumId w:val="1"/>
  </w:num>
  <w:num w:numId="9" w16cid:durableId="1751733841">
    <w:abstractNumId w:val="9"/>
  </w:num>
  <w:num w:numId="10" w16cid:durableId="680203133">
    <w:abstractNumId w:val="5"/>
  </w:num>
  <w:num w:numId="11" w16cid:durableId="2016376394">
    <w:abstractNumId w:val="4"/>
  </w:num>
  <w:num w:numId="12" w16cid:durableId="12176247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F7B"/>
    <w:rsid w:val="000115ED"/>
    <w:rsid w:val="00015C86"/>
    <w:rsid w:val="00016C4C"/>
    <w:rsid w:val="00017BCE"/>
    <w:rsid w:val="00034E22"/>
    <w:rsid w:val="00041414"/>
    <w:rsid w:val="00066DCE"/>
    <w:rsid w:val="00074C36"/>
    <w:rsid w:val="00076CA3"/>
    <w:rsid w:val="0008163E"/>
    <w:rsid w:val="000845AC"/>
    <w:rsid w:val="0008556E"/>
    <w:rsid w:val="000A361B"/>
    <w:rsid w:val="000A53AD"/>
    <w:rsid w:val="000E7B55"/>
    <w:rsid w:val="000F386B"/>
    <w:rsid w:val="00102419"/>
    <w:rsid w:val="0013478A"/>
    <w:rsid w:val="001473BF"/>
    <w:rsid w:val="00164FCD"/>
    <w:rsid w:val="00177DA1"/>
    <w:rsid w:val="0019026C"/>
    <w:rsid w:val="00190E13"/>
    <w:rsid w:val="001A0B2B"/>
    <w:rsid w:val="001C2180"/>
    <w:rsid w:val="001D7400"/>
    <w:rsid w:val="001E0DC8"/>
    <w:rsid w:val="001E6DD7"/>
    <w:rsid w:val="001F1E19"/>
    <w:rsid w:val="001F7D88"/>
    <w:rsid w:val="0020470C"/>
    <w:rsid w:val="002170A6"/>
    <w:rsid w:val="002207B0"/>
    <w:rsid w:val="00227948"/>
    <w:rsid w:val="00291437"/>
    <w:rsid w:val="002944E8"/>
    <w:rsid w:val="002A4717"/>
    <w:rsid w:val="002C058F"/>
    <w:rsid w:val="002C5384"/>
    <w:rsid w:val="002E359E"/>
    <w:rsid w:val="002E78D8"/>
    <w:rsid w:val="002F083A"/>
    <w:rsid w:val="002F334E"/>
    <w:rsid w:val="002F38BF"/>
    <w:rsid w:val="002F3D5D"/>
    <w:rsid w:val="002F7CCD"/>
    <w:rsid w:val="00304565"/>
    <w:rsid w:val="003244DA"/>
    <w:rsid w:val="00327FF3"/>
    <w:rsid w:val="00331EBA"/>
    <w:rsid w:val="00342CC2"/>
    <w:rsid w:val="003431F7"/>
    <w:rsid w:val="003763DB"/>
    <w:rsid w:val="00377489"/>
    <w:rsid w:val="00381F1F"/>
    <w:rsid w:val="00391F05"/>
    <w:rsid w:val="003B7DE0"/>
    <w:rsid w:val="003C00A2"/>
    <w:rsid w:val="003C3518"/>
    <w:rsid w:val="003C4ECA"/>
    <w:rsid w:val="003E0F07"/>
    <w:rsid w:val="003E1C0A"/>
    <w:rsid w:val="003E3DF5"/>
    <w:rsid w:val="003F15AE"/>
    <w:rsid w:val="003F69A6"/>
    <w:rsid w:val="003F6A64"/>
    <w:rsid w:val="004025EA"/>
    <w:rsid w:val="00407597"/>
    <w:rsid w:val="0041230C"/>
    <w:rsid w:val="00427699"/>
    <w:rsid w:val="00433B68"/>
    <w:rsid w:val="00440DC4"/>
    <w:rsid w:val="00443C91"/>
    <w:rsid w:val="0047077C"/>
    <w:rsid w:val="00494451"/>
    <w:rsid w:val="00497169"/>
    <w:rsid w:val="004D1BF6"/>
    <w:rsid w:val="004F3BB6"/>
    <w:rsid w:val="004F518E"/>
    <w:rsid w:val="00502A56"/>
    <w:rsid w:val="0050466F"/>
    <w:rsid w:val="00504DF1"/>
    <w:rsid w:val="00504E1D"/>
    <w:rsid w:val="00530D99"/>
    <w:rsid w:val="00534DDC"/>
    <w:rsid w:val="00537BA4"/>
    <w:rsid w:val="005438E2"/>
    <w:rsid w:val="00550F7D"/>
    <w:rsid w:val="00556020"/>
    <w:rsid w:val="005627BA"/>
    <w:rsid w:val="0056594F"/>
    <w:rsid w:val="00566F59"/>
    <w:rsid w:val="00570C87"/>
    <w:rsid w:val="00575016"/>
    <w:rsid w:val="00576381"/>
    <w:rsid w:val="00577533"/>
    <w:rsid w:val="00592DD9"/>
    <w:rsid w:val="0059310A"/>
    <w:rsid w:val="005B36B5"/>
    <w:rsid w:val="005B43BD"/>
    <w:rsid w:val="005B6E0C"/>
    <w:rsid w:val="005C3581"/>
    <w:rsid w:val="005D4CC1"/>
    <w:rsid w:val="005D6E99"/>
    <w:rsid w:val="005D7F34"/>
    <w:rsid w:val="005E0AF3"/>
    <w:rsid w:val="005F4E6E"/>
    <w:rsid w:val="005F5095"/>
    <w:rsid w:val="005F7FF3"/>
    <w:rsid w:val="006025B6"/>
    <w:rsid w:val="00605410"/>
    <w:rsid w:val="0062128D"/>
    <w:rsid w:val="00635148"/>
    <w:rsid w:val="00647B8D"/>
    <w:rsid w:val="00653F4D"/>
    <w:rsid w:val="006613A1"/>
    <w:rsid w:val="006679B8"/>
    <w:rsid w:val="00672536"/>
    <w:rsid w:val="006729D2"/>
    <w:rsid w:val="006B4E4F"/>
    <w:rsid w:val="006B5A29"/>
    <w:rsid w:val="006B5BCF"/>
    <w:rsid w:val="006D74DA"/>
    <w:rsid w:val="00702837"/>
    <w:rsid w:val="00723CE3"/>
    <w:rsid w:val="00725333"/>
    <w:rsid w:val="00727D1E"/>
    <w:rsid w:val="00740DD8"/>
    <w:rsid w:val="00742B2D"/>
    <w:rsid w:val="007578E2"/>
    <w:rsid w:val="00763F59"/>
    <w:rsid w:val="0076719E"/>
    <w:rsid w:val="00767B3B"/>
    <w:rsid w:val="0077707D"/>
    <w:rsid w:val="00777C02"/>
    <w:rsid w:val="00794C8C"/>
    <w:rsid w:val="00794DC2"/>
    <w:rsid w:val="007A1AC2"/>
    <w:rsid w:val="007C383E"/>
    <w:rsid w:val="007C4E2B"/>
    <w:rsid w:val="007F29EC"/>
    <w:rsid w:val="0082785D"/>
    <w:rsid w:val="008357F0"/>
    <w:rsid w:val="00835C26"/>
    <w:rsid w:val="00851B60"/>
    <w:rsid w:val="008561D4"/>
    <w:rsid w:val="008644E1"/>
    <w:rsid w:val="00864E9F"/>
    <w:rsid w:val="00864EAC"/>
    <w:rsid w:val="00871C0C"/>
    <w:rsid w:val="00872DDA"/>
    <w:rsid w:val="00877391"/>
    <w:rsid w:val="00885976"/>
    <w:rsid w:val="008863C2"/>
    <w:rsid w:val="00893958"/>
    <w:rsid w:val="00894201"/>
    <w:rsid w:val="00896DA2"/>
    <w:rsid w:val="008A7DFE"/>
    <w:rsid w:val="008C26D6"/>
    <w:rsid w:val="008C31B9"/>
    <w:rsid w:val="008C7075"/>
    <w:rsid w:val="008D11D0"/>
    <w:rsid w:val="008E5F7B"/>
    <w:rsid w:val="008F6872"/>
    <w:rsid w:val="0090286C"/>
    <w:rsid w:val="00905846"/>
    <w:rsid w:val="0091669B"/>
    <w:rsid w:val="00917C7A"/>
    <w:rsid w:val="009217DF"/>
    <w:rsid w:val="0093590A"/>
    <w:rsid w:val="0094518D"/>
    <w:rsid w:val="009841B9"/>
    <w:rsid w:val="00986774"/>
    <w:rsid w:val="009A2048"/>
    <w:rsid w:val="009A2135"/>
    <w:rsid w:val="009C1B69"/>
    <w:rsid w:val="009D2AB9"/>
    <w:rsid w:val="009E04FE"/>
    <w:rsid w:val="009E60FD"/>
    <w:rsid w:val="009F3EAD"/>
    <w:rsid w:val="00A00287"/>
    <w:rsid w:val="00A0563D"/>
    <w:rsid w:val="00A074C1"/>
    <w:rsid w:val="00A129E2"/>
    <w:rsid w:val="00A165AA"/>
    <w:rsid w:val="00A20D80"/>
    <w:rsid w:val="00A26EDA"/>
    <w:rsid w:val="00A30EE9"/>
    <w:rsid w:val="00A3454C"/>
    <w:rsid w:val="00A6199E"/>
    <w:rsid w:val="00A6700B"/>
    <w:rsid w:val="00A767F9"/>
    <w:rsid w:val="00A774AE"/>
    <w:rsid w:val="00A95CB2"/>
    <w:rsid w:val="00AB2700"/>
    <w:rsid w:val="00AB36D9"/>
    <w:rsid w:val="00AB7C5B"/>
    <w:rsid w:val="00AD4FF0"/>
    <w:rsid w:val="00AD74CC"/>
    <w:rsid w:val="00AE02BE"/>
    <w:rsid w:val="00AF2B2E"/>
    <w:rsid w:val="00AF403F"/>
    <w:rsid w:val="00AF7939"/>
    <w:rsid w:val="00B12C86"/>
    <w:rsid w:val="00B50EEB"/>
    <w:rsid w:val="00B53248"/>
    <w:rsid w:val="00B62167"/>
    <w:rsid w:val="00B72697"/>
    <w:rsid w:val="00B87671"/>
    <w:rsid w:val="00B907E4"/>
    <w:rsid w:val="00B944CB"/>
    <w:rsid w:val="00B9573E"/>
    <w:rsid w:val="00BA4363"/>
    <w:rsid w:val="00BB1D66"/>
    <w:rsid w:val="00BC2150"/>
    <w:rsid w:val="00BF1155"/>
    <w:rsid w:val="00BF28AB"/>
    <w:rsid w:val="00BF2D40"/>
    <w:rsid w:val="00BF4C06"/>
    <w:rsid w:val="00BF59A0"/>
    <w:rsid w:val="00C11BCF"/>
    <w:rsid w:val="00C132FB"/>
    <w:rsid w:val="00C27012"/>
    <w:rsid w:val="00C47F5C"/>
    <w:rsid w:val="00C6226A"/>
    <w:rsid w:val="00C86C2B"/>
    <w:rsid w:val="00C91B3C"/>
    <w:rsid w:val="00C97932"/>
    <w:rsid w:val="00CA0175"/>
    <w:rsid w:val="00CA23E8"/>
    <w:rsid w:val="00CD6E72"/>
    <w:rsid w:val="00CE2345"/>
    <w:rsid w:val="00CF640A"/>
    <w:rsid w:val="00D008B6"/>
    <w:rsid w:val="00D17B61"/>
    <w:rsid w:val="00D2346A"/>
    <w:rsid w:val="00D24BDF"/>
    <w:rsid w:val="00D35C29"/>
    <w:rsid w:val="00D366FA"/>
    <w:rsid w:val="00D44B23"/>
    <w:rsid w:val="00D45C94"/>
    <w:rsid w:val="00D5219D"/>
    <w:rsid w:val="00D579EF"/>
    <w:rsid w:val="00D57C53"/>
    <w:rsid w:val="00D61403"/>
    <w:rsid w:val="00D65D9E"/>
    <w:rsid w:val="00D67EFA"/>
    <w:rsid w:val="00D71F4C"/>
    <w:rsid w:val="00D72EC4"/>
    <w:rsid w:val="00D77A8F"/>
    <w:rsid w:val="00DA791E"/>
    <w:rsid w:val="00DB29F4"/>
    <w:rsid w:val="00DD53D9"/>
    <w:rsid w:val="00DE0CC6"/>
    <w:rsid w:val="00E13272"/>
    <w:rsid w:val="00E46990"/>
    <w:rsid w:val="00E478E1"/>
    <w:rsid w:val="00E5676C"/>
    <w:rsid w:val="00E718D3"/>
    <w:rsid w:val="00E73E78"/>
    <w:rsid w:val="00E77BE8"/>
    <w:rsid w:val="00E81247"/>
    <w:rsid w:val="00E96E17"/>
    <w:rsid w:val="00EA3048"/>
    <w:rsid w:val="00EB5B3E"/>
    <w:rsid w:val="00EC63FE"/>
    <w:rsid w:val="00EC7805"/>
    <w:rsid w:val="00ED114A"/>
    <w:rsid w:val="00ED2335"/>
    <w:rsid w:val="00ED7703"/>
    <w:rsid w:val="00EE53A2"/>
    <w:rsid w:val="00EF7EE1"/>
    <w:rsid w:val="00F142D7"/>
    <w:rsid w:val="00F3228C"/>
    <w:rsid w:val="00F40300"/>
    <w:rsid w:val="00F51644"/>
    <w:rsid w:val="00F51BD2"/>
    <w:rsid w:val="00F63325"/>
    <w:rsid w:val="00F739D0"/>
    <w:rsid w:val="00F77560"/>
    <w:rsid w:val="00F9319A"/>
    <w:rsid w:val="00F96452"/>
    <w:rsid w:val="00F966FA"/>
    <w:rsid w:val="00FA47BC"/>
    <w:rsid w:val="00FB0057"/>
    <w:rsid w:val="00FB1058"/>
    <w:rsid w:val="00FB48BF"/>
    <w:rsid w:val="00FF0BA9"/>
    <w:rsid w:val="00FF2B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CB7C8"/>
  <w15:chartTrackingRefBased/>
  <w15:docId w15:val="{69CBD9F8-BEFC-4AAC-8756-F8D4C86B9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7753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2">
    <w:name w:val="Body Text Indent 2"/>
    <w:basedOn w:val="Norml"/>
    <w:link w:val="Szvegtrzsbehzssal2Char"/>
    <w:rsid w:val="0094518D"/>
    <w:pPr>
      <w:spacing w:after="120" w:line="480" w:lineRule="auto"/>
      <w:ind w:left="283"/>
    </w:pPr>
    <w:rPr>
      <w:szCs w:val="20"/>
    </w:rPr>
  </w:style>
  <w:style w:type="character" w:customStyle="1" w:styleId="Szvegtrzsbehzssal2Char">
    <w:name w:val="Szövegtörzs behúzással 2 Char"/>
    <w:basedOn w:val="Bekezdsalapbettpusa"/>
    <w:link w:val="Szvegtrzsbehzssal2"/>
    <w:rsid w:val="0094518D"/>
    <w:rPr>
      <w:rFonts w:ascii="Times New Roman" w:eastAsia="Times New Roman" w:hAnsi="Times New Roman" w:cs="Times New Roman"/>
      <w:sz w:val="24"/>
      <w:szCs w:val="20"/>
      <w:lang w:eastAsia="hu-HU"/>
    </w:rPr>
  </w:style>
  <w:style w:type="paragraph" w:customStyle="1" w:styleId="xl43">
    <w:name w:val="xl43"/>
    <w:basedOn w:val="Norml"/>
    <w:rsid w:val="0094518D"/>
    <w:pPr>
      <w:pBdr>
        <w:left w:val="single" w:sz="8"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CharChar1CharCharCharChar1">
    <w:name w:val="Char Char1 Char Char Char Char1"/>
    <w:basedOn w:val="Norml"/>
    <w:rsid w:val="0062128D"/>
    <w:pPr>
      <w:spacing w:after="160" w:line="240" w:lineRule="exact"/>
    </w:pPr>
    <w:rPr>
      <w:rFonts w:ascii="Verdana" w:hAnsi="Verdana"/>
      <w:sz w:val="20"/>
      <w:szCs w:val="20"/>
      <w:lang w:val="en-US" w:eastAsia="en-US"/>
    </w:rPr>
  </w:style>
  <w:style w:type="paragraph" w:styleId="Buborkszveg">
    <w:name w:val="Balloon Text"/>
    <w:basedOn w:val="Norml"/>
    <w:link w:val="BuborkszvegChar"/>
    <w:uiPriority w:val="99"/>
    <w:semiHidden/>
    <w:unhideWhenUsed/>
    <w:rsid w:val="00F77560"/>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77560"/>
    <w:rPr>
      <w:rFonts w:ascii="Segoe UI" w:eastAsia="Times New Roman" w:hAnsi="Segoe UI" w:cs="Segoe UI"/>
      <w:sz w:val="18"/>
      <w:szCs w:val="18"/>
      <w:lang w:eastAsia="hu-HU"/>
    </w:rPr>
  </w:style>
  <w:style w:type="paragraph" w:styleId="Szvegtrzs">
    <w:name w:val="Body Text"/>
    <w:aliases w:val="normabeh"/>
    <w:basedOn w:val="Norml"/>
    <w:link w:val="SzvegtrzsChar"/>
    <w:rsid w:val="00A00287"/>
    <w:pPr>
      <w:spacing w:after="120"/>
    </w:pPr>
  </w:style>
  <w:style w:type="character" w:customStyle="1" w:styleId="SzvegtrzsChar">
    <w:name w:val="Szövegtörzs Char"/>
    <w:aliases w:val="normabeh Char"/>
    <w:basedOn w:val="Bekezdsalapbettpusa"/>
    <w:link w:val="Szvegtrzs"/>
    <w:rsid w:val="00A00287"/>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D366FA"/>
    <w:pPr>
      <w:tabs>
        <w:tab w:val="center" w:pos="4536"/>
        <w:tab w:val="right" w:pos="9072"/>
      </w:tabs>
    </w:pPr>
  </w:style>
  <w:style w:type="character" w:customStyle="1" w:styleId="lfejChar">
    <w:name w:val="Élőfej Char"/>
    <w:basedOn w:val="Bekezdsalapbettpusa"/>
    <w:link w:val="lfej"/>
    <w:uiPriority w:val="99"/>
    <w:rsid w:val="00D366FA"/>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D366FA"/>
    <w:pPr>
      <w:tabs>
        <w:tab w:val="center" w:pos="4536"/>
        <w:tab w:val="right" w:pos="9072"/>
      </w:tabs>
    </w:pPr>
  </w:style>
  <w:style w:type="character" w:customStyle="1" w:styleId="llbChar">
    <w:name w:val="Élőláb Char"/>
    <w:basedOn w:val="Bekezdsalapbettpusa"/>
    <w:link w:val="llb"/>
    <w:uiPriority w:val="99"/>
    <w:rsid w:val="00D366FA"/>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331EBA"/>
    <w:pPr>
      <w:ind w:left="720"/>
      <w:contextualSpacing/>
    </w:pPr>
  </w:style>
  <w:style w:type="table" w:styleId="Rcsostblzat">
    <w:name w:val="Table Grid"/>
    <w:basedOn w:val="Normltblzat"/>
    <w:uiPriority w:val="39"/>
    <w:rsid w:val="00ED7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390124">
      <w:bodyDiv w:val="1"/>
      <w:marLeft w:val="0"/>
      <w:marRight w:val="0"/>
      <w:marTop w:val="0"/>
      <w:marBottom w:val="0"/>
      <w:divBdr>
        <w:top w:val="none" w:sz="0" w:space="0" w:color="auto"/>
        <w:left w:val="none" w:sz="0" w:space="0" w:color="auto"/>
        <w:bottom w:val="none" w:sz="0" w:space="0" w:color="auto"/>
        <w:right w:val="none" w:sz="0" w:space="0" w:color="auto"/>
      </w:divBdr>
    </w:div>
    <w:div w:id="581255485">
      <w:bodyDiv w:val="1"/>
      <w:marLeft w:val="0"/>
      <w:marRight w:val="0"/>
      <w:marTop w:val="0"/>
      <w:marBottom w:val="0"/>
      <w:divBdr>
        <w:top w:val="none" w:sz="0" w:space="0" w:color="auto"/>
        <w:left w:val="none" w:sz="0" w:space="0" w:color="auto"/>
        <w:bottom w:val="none" w:sz="0" w:space="0" w:color="auto"/>
        <w:right w:val="none" w:sz="0" w:space="0" w:color="auto"/>
      </w:divBdr>
    </w:div>
    <w:div w:id="856501098">
      <w:bodyDiv w:val="1"/>
      <w:marLeft w:val="0"/>
      <w:marRight w:val="0"/>
      <w:marTop w:val="0"/>
      <w:marBottom w:val="0"/>
      <w:divBdr>
        <w:top w:val="none" w:sz="0" w:space="0" w:color="auto"/>
        <w:left w:val="none" w:sz="0" w:space="0" w:color="auto"/>
        <w:bottom w:val="none" w:sz="0" w:space="0" w:color="auto"/>
        <w:right w:val="none" w:sz="0" w:space="0" w:color="auto"/>
      </w:divBdr>
    </w:div>
    <w:div w:id="1497068973">
      <w:bodyDiv w:val="1"/>
      <w:marLeft w:val="0"/>
      <w:marRight w:val="0"/>
      <w:marTop w:val="0"/>
      <w:marBottom w:val="0"/>
      <w:divBdr>
        <w:top w:val="none" w:sz="0" w:space="0" w:color="auto"/>
        <w:left w:val="none" w:sz="0" w:space="0" w:color="auto"/>
        <w:bottom w:val="none" w:sz="0" w:space="0" w:color="auto"/>
        <w:right w:val="none" w:sz="0" w:space="0" w:color="auto"/>
      </w:divBdr>
    </w:div>
    <w:div w:id="1751926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1081</Words>
  <Characters>7466</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Eger MJV PH Informatikai Osztály</Company>
  <LinksUpToDate>false</LinksUpToDate>
  <CharactersWithSpaces>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Zsótér Krisztián</dc:creator>
  <cp:keywords/>
  <dc:description/>
  <cp:lastModifiedBy>Ajkay Beáta</cp:lastModifiedBy>
  <cp:revision>3</cp:revision>
  <cp:lastPrinted>2021-12-06T07:03:00Z</cp:lastPrinted>
  <dcterms:created xsi:type="dcterms:W3CDTF">2024-11-20T06:51:00Z</dcterms:created>
  <dcterms:modified xsi:type="dcterms:W3CDTF">2024-11-20T08:50:00Z</dcterms:modified>
</cp:coreProperties>
</file>