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526E1" w14:textId="77777777" w:rsidR="00AC129B" w:rsidRDefault="00CF7BE0" w:rsidP="00AC129B">
      <w:pPr>
        <w:jc w:val="right"/>
        <w:rPr>
          <w:rFonts w:ascii="Constantia" w:hAnsi="Constantia"/>
        </w:rPr>
      </w:pPr>
      <w:r>
        <w:rPr>
          <w:rFonts w:ascii="Constantia" w:hAnsi="Constantia"/>
        </w:rPr>
        <w:t xml:space="preserve">1. </w:t>
      </w:r>
      <w:r w:rsidR="00AC129B" w:rsidRPr="00A3067B">
        <w:rPr>
          <w:rFonts w:ascii="Constantia" w:hAnsi="Constantia"/>
        </w:rPr>
        <w:t>melléklet</w:t>
      </w:r>
    </w:p>
    <w:p w14:paraId="6EF17D8C" w14:textId="77777777" w:rsidR="00AC129B" w:rsidRPr="00A3067B" w:rsidRDefault="00AC129B" w:rsidP="00AC129B">
      <w:pPr>
        <w:rPr>
          <w:rFonts w:ascii="Constantia" w:hAnsi="Constantia"/>
        </w:rPr>
      </w:pPr>
    </w:p>
    <w:p w14:paraId="416A4EB5" w14:textId="77777777" w:rsidR="00AC129B" w:rsidRPr="00A3067B" w:rsidRDefault="00AC129B" w:rsidP="00AC129B">
      <w:pPr>
        <w:jc w:val="center"/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>Előzetes hatásvizsgálati lap</w:t>
      </w:r>
    </w:p>
    <w:p w14:paraId="71CECA56" w14:textId="0DD5EC97" w:rsidR="00AC129B" w:rsidRPr="00ED0609" w:rsidRDefault="00AC129B" w:rsidP="006727EA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ED0609">
        <w:rPr>
          <w:rFonts w:ascii="Constantia" w:hAnsi="Constantia"/>
          <w:b/>
          <w:sz w:val="24"/>
          <w:szCs w:val="24"/>
        </w:rPr>
        <w:t>Eger Megyei Jogú Város Önkormányzat</w:t>
      </w:r>
      <w:r>
        <w:rPr>
          <w:rFonts w:ascii="Constantia" w:hAnsi="Constantia"/>
          <w:b/>
          <w:sz w:val="24"/>
          <w:szCs w:val="24"/>
        </w:rPr>
        <w:t>a Közgyűlésének rendelet</w:t>
      </w:r>
      <w:r w:rsidR="002118FA">
        <w:rPr>
          <w:rFonts w:ascii="Constantia" w:hAnsi="Constantia"/>
          <w:b/>
          <w:sz w:val="24"/>
          <w:szCs w:val="24"/>
        </w:rPr>
        <w:t>-</w:t>
      </w:r>
      <w:r w:rsidRPr="00ED0609">
        <w:rPr>
          <w:rFonts w:ascii="Constantia" w:hAnsi="Constantia"/>
          <w:b/>
          <w:sz w:val="24"/>
          <w:szCs w:val="24"/>
        </w:rPr>
        <w:t xml:space="preserve">tervezete </w:t>
      </w:r>
      <w:r w:rsidR="002118FA">
        <w:rPr>
          <w:rFonts w:ascii="Constantia" w:hAnsi="Constantia"/>
          <w:b/>
          <w:sz w:val="24"/>
          <w:szCs w:val="24"/>
        </w:rPr>
        <w:br/>
      </w:r>
      <w:r>
        <w:rPr>
          <w:rFonts w:ascii="Constantia" w:hAnsi="Constantia"/>
          <w:b/>
          <w:sz w:val="24"/>
          <w:szCs w:val="24"/>
        </w:rPr>
        <w:t>az egészségügyi alapellátási körzetekről</w:t>
      </w:r>
      <w:r w:rsidR="006727EA">
        <w:rPr>
          <w:rFonts w:ascii="Constantia" w:hAnsi="Constantia"/>
          <w:b/>
          <w:sz w:val="24"/>
          <w:szCs w:val="24"/>
        </w:rPr>
        <w:t xml:space="preserve"> szóló 37/2016. (XI. 25.) önkormányzati rendelet módosításáról</w:t>
      </w:r>
    </w:p>
    <w:p w14:paraId="253539E8" w14:textId="77777777" w:rsidR="00AC129B" w:rsidRPr="005950CA" w:rsidRDefault="00AC129B" w:rsidP="00AC129B">
      <w:pPr>
        <w:jc w:val="both"/>
        <w:rPr>
          <w:rFonts w:ascii="Constantia" w:hAnsi="Constantia"/>
          <w:b/>
        </w:rPr>
      </w:pPr>
    </w:p>
    <w:p w14:paraId="05FB4C15" w14:textId="1A7B75D6" w:rsidR="00AC129B" w:rsidRDefault="00451684" w:rsidP="00736727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D</w:t>
      </w:r>
      <w:r w:rsidR="00AC129B">
        <w:rPr>
          <w:rFonts w:ascii="Constantia" w:hAnsi="Constantia"/>
          <w:b/>
        </w:rPr>
        <w:t xml:space="preserve">r. </w:t>
      </w:r>
      <w:r w:rsidR="002C5746">
        <w:rPr>
          <w:rFonts w:ascii="Constantia" w:hAnsi="Constantia"/>
          <w:b/>
        </w:rPr>
        <w:t>Barta Viktor</w:t>
      </w:r>
    </w:p>
    <w:p w14:paraId="14A26A18" w14:textId="77777777" w:rsidR="00AC129B" w:rsidRPr="00A3067B" w:rsidRDefault="00AC129B" w:rsidP="00736727">
      <w:pPr>
        <w:jc w:val="center"/>
        <w:rPr>
          <w:rFonts w:ascii="Constantia" w:hAnsi="Constantia"/>
          <w:b/>
          <w:color w:val="000000" w:themeColor="text1"/>
        </w:rPr>
      </w:pPr>
      <w:r>
        <w:rPr>
          <w:rFonts w:ascii="Constantia" w:hAnsi="Constantia"/>
          <w:b/>
        </w:rPr>
        <w:t>jegyző</w:t>
      </w:r>
    </w:p>
    <w:p w14:paraId="35CCD17E" w14:textId="384C99A2" w:rsidR="00AC129B" w:rsidRPr="00A3067B" w:rsidRDefault="00AC129B" w:rsidP="00736727">
      <w:pPr>
        <w:jc w:val="center"/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>készült a Közgyűlé</w:t>
      </w:r>
      <w:r>
        <w:rPr>
          <w:rFonts w:ascii="Constantia" w:hAnsi="Constantia"/>
          <w:b/>
        </w:rPr>
        <w:t xml:space="preserve">s </w:t>
      </w:r>
      <w:r w:rsidR="000651FE" w:rsidRPr="009D53DC">
        <w:rPr>
          <w:rFonts w:ascii="Constantia" w:hAnsi="Constantia"/>
          <w:b/>
        </w:rPr>
        <w:t>202</w:t>
      </w:r>
      <w:r w:rsidR="00736727">
        <w:rPr>
          <w:rFonts w:ascii="Constantia" w:hAnsi="Constantia"/>
          <w:b/>
        </w:rPr>
        <w:t>4</w:t>
      </w:r>
      <w:r w:rsidR="00D51219">
        <w:rPr>
          <w:rFonts w:ascii="Constantia" w:hAnsi="Constantia"/>
          <w:b/>
        </w:rPr>
        <w:t>.</w:t>
      </w:r>
      <w:r w:rsidR="002C5746">
        <w:rPr>
          <w:rFonts w:ascii="Constantia" w:hAnsi="Constantia"/>
          <w:b/>
        </w:rPr>
        <w:t xml:space="preserve"> november </w:t>
      </w:r>
      <w:r w:rsidR="00AE4ECD">
        <w:rPr>
          <w:rFonts w:ascii="Constantia" w:hAnsi="Constantia"/>
          <w:b/>
        </w:rPr>
        <w:t>2</w:t>
      </w:r>
      <w:r w:rsidR="002C5746">
        <w:rPr>
          <w:rFonts w:ascii="Constantia" w:hAnsi="Constantia"/>
          <w:b/>
        </w:rPr>
        <w:t>8</w:t>
      </w:r>
      <w:r w:rsidR="00D51219">
        <w:rPr>
          <w:rFonts w:ascii="Constantia" w:hAnsi="Constantia"/>
          <w:b/>
        </w:rPr>
        <w:t>-</w:t>
      </w:r>
      <w:r w:rsidRPr="009D53DC">
        <w:rPr>
          <w:rFonts w:ascii="Constantia" w:hAnsi="Constantia"/>
          <w:b/>
        </w:rPr>
        <w:t>i</w:t>
      </w:r>
      <w:r w:rsidRPr="00A3067B">
        <w:rPr>
          <w:rFonts w:ascii="Constantia" w:hAnsi="Constantia"/>
          <w:b/>
        </w:rPr>
        <w:t xml:space="preserve"> ülésére</w:t>
      </w:r>
    </w:p>
    <w:p w14:paraId="0D8DA026" w14:textId="77777777" w:rsidR="00AC129B" w:rsidRDefault="00AC129B" w:rsidP="00AC129B">
      <w:pPr>
        <w:rPr>
          <w:rFonts w:ascii="Constantia" w:hAnsi="Constantia"/>
          <w:b/>
        </w:rPr>
      </w:pPr>
    </w:p>
    <w:p w14:paraId="0D458F53" w14:textId="77777777" w:rsidR="00AC129B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Előzetes hatásvizsgálat:</w:t>
      </w:r>
    </w:p>
    <w:p w14:paraId="40981B80" w14:textId="77777777" w:rsidR="00AC129B" w:rsidRPr="00A3067B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</w:p>
    <w:p w14:paraId="2663C7C1" w14:textId="23961A57" w:rsidR="00F15C8A" w:rsidRPr="00F15C8A" w:rsidRDefault="00AC129B" w:rsidP="00F15C8A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F15C8A">
        <w:rPr>
          <w:rFonts w:ascii="Constantia" w:hAnsi="Constantia"/>
          <w:b/>
          <w:color w:val="000000" w:themeColor="text1"/>
        </w:rPr>
        <w:t>Társadalmi hatások</w:t>
      </w:r>
      <w:r w:rsidRPr="00F15C8A">
        <w:rPr>
          <w:rFonts w:ascii="Constantia" w:hAnsi="Constantia"/>
          <w:color w:val="000000" w:themeColor="text1"/>
        </w:rPr>
        <w:t>: Az alapellátás</w:t>
      </w:r>
      <w:r w:rsidR="00F15C8A">
        <w:rPr>
          <w:rFonts w:ascii="Constantia" w:hAnsi="Constantia"/>
          <w:color w:val="000000" w:themeColor="text1"/>
        </w:rPr>
        <w:t>i</w:t>
      </w:r>
      <w:r w:rsidRPr="00F15C8A">
        <w:rPr>
          <w:rFonts w:ascii="Constantia" w:hAnsi="Constantia"/>
          <w:color w:val="000000" w:themeColor="text1"/>
        </w:rPr>
        <w:t xml:space="preserve"> körzetekbe</w:t>
      </w:r>
      <w:r w:rsidR="00B70594" w:rsidRPr="00F15C8A">
        <w:rPr>
          <w:rFonts w:ascii="Constantia" w:hAnsi="Constantia"/>
          <w:color w:val="000000" w:themeColor="text1"/>
        </w:rPr>
        <w:t xml:space="preserve">n minden </w:t>
      </w:r>
      <w:r w:rsidR="00CD1E8B" w:rsidRPr="00F15C8A">
        <w:rPr>
          <w:rFonts w:ascii="Constantia" w:hAnsi="Constantia"/>
          <w:color w:val="000000" w:themeColor="text1"/>
        </w:rPr>
        <w:t>nevelési-oktatási intézmény</w:t>
      </w:r>
      <w:r w:rsidR="00F15C8A" w:rsidRPr="00F15C8A">
        <w:rPr>
          <w:rFonts w:ascii="Constantia" w:hAnsi="Constantia"/>
          <w:color w:val="000000" w:themeColor="text1"/>
        </w:rPr>
        <w:t xml:space="preserve"> </w:t>
      </w:r>
      <w:r w:rsidR="00B70594" w:rsidRPr="00F15C8A">
        <w:rPr>
          <w:rFonts w:ascii="Constantia" w:hAnsi="Constantia"/>
          <w:color w:val="000000" w:themeColor="text1"/>
        </w:rPr>
        <w:t>megtalálható</w:t>
      </w:r>
      <w:r w:rsidRPr="00F15C8A">
        <w:rPr>
          <w:rFonts w:ascii="Constantia" w:hAnsi="Constantia"/>
          <w:color w:val="000000" w:themeColor="text1"/>
        </w:rPr>
        <w:t>.</w:t>
      </w:r>
    </w:p>
    <w:p w14:paraId="5CF3112D" w14:textId="19C963D3" w:rsidR="00CD1E8B" w:rsidRPr="0062219D" w:rsidRDefault="00AC129B" w:rsidP="00CD3267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62219D">
        <w:rPr>
          <w:rFonts w:ascii="Constantia" w:hAnsi="Constantia"/>
          <w:b/>
          <w:color w:val="000000" w:themeColor="text1"/>
        </w:rPr>
        <w:t>Gazdasági</w:t>
      </w:r>
      <w:r w:rsidR="0062219D" w:rsidRPr="0062219D">
        <w:rPr>
          <w:rFonts w:ascii="Constantia" w:hAnsi="Constantia"/>
          <w:b/>
          <w:color w:val="000000" w:themeColor="text1"/>
        </w:rPr>
        <w:t xml:space="preserve"> és költségvetési </w:t>
      </w:r>
      <w:r w:rsidRPr="0062219D">
        <w:rPr>
          <w:rFonts w:ascii="Constantia" w:hAnsi="Constantia"/>
          <w:b/>
          <w:color w:val="000000" w:themeColor="text1"/>
        </w:rPr>
        <w:t>hatások</w:t>
      </w:r>
      <w:r w:rsidRPr="0062219D">
        <w:rPr>
          <w:rFonts w:ascii="Constantia" w:hAnsi="Constantia"/>
          <w:color w:val="000000" w:themeColor="text1"/>
        </w:rPr>
        <w:t>: A rendelet</w:t>
      </w:r>
      <w:r w:rsidR="00CD1E8B" w:rsidRPr="0062219D">
        <w:rPr>
          <w:rFonts w:ascii="Constantia" w:hAnsi="Constantia"/>
          <w:color w:val="000000" w:themeColor="text1"/>
        </w:rPr>
        <w:t>módosítás többletkiadással nem jár</w:t>
      </w:r>
      <w:r w:rsidR="00C7188D">
        <w:rPr>
          <w:rFonts w:ascii="Constantia" w:hAnsi="Constantia"/>
          <w:color w:val="000000" w:themeColor="text1"/>
        </w:rPr>
        <w:t>, az ellátás finanszírozása előnyösebb</w:t>
      </w:r>
      <w:r w:rsidR="00CD1E8B" w:rsidRPr="0062219D">
        <w:rPr>
          <w:rFonts w:ascii="Constantia" w:hAnsi="Constantia"/>
          <w:color w:val="000000" w:themeColor="text1"/>
        </w:rPr>
        <w:t>.</w:t>
      </w:r>
    </w:p>
    <w:p w14:paraId="73E6D1EC" w14:textId="77777777" w:rsidR="00AC129B" w:rsidRDefault="00AC129B" w:rsidP="00AC129B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654C47">
        <w:rPr>
          <w:rFonts w:ascii="Constantia" w:hAnsi="Constantia"/>
          <w:b/>
          <w:color w:val="000000" w:themeColor="text1"/>
        </w:rPr>
        <w:t>Környezeti és egészségügyi következmények</w:t>
      </w:r>
      <w:r w:rsidRPr="00654C47">
        <w:rPr>
          <w:rFonts w:ascii="Constantia" w:hAnsi="Constantia"/>
          <w:color w:val="000000" w:themeColor="text1"/>
        </w:rPr>
        <w:t>: A rendeletnek környezeti hatása nincs, az egészségügyi hatás</w:t>
      </w:r>
      <w:r>
        <w:rPr>
          <w:rFonts w:ascii="Constantia" w:hAnsi="Constantia"/>
          <w:color w:val="000000" w:themeColor="text1"/>
        </w:rPr>
        <w:t xml:space="preserve"> pozitív az érintettek számára.</w:t>
      </w:r>
    </w:p>
    <w:p w14:paraId="79103E1F" w14:textId="77777777" w:rsidR="00AC129B" w:rsidRDefault="00AC129B" w:rsidP="00AC129B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Adminisztratív terheket befolyásoló hatások</w:t>
      </w:r>
      <w:r w:rsidRPr="00A3067B">
        <w:rPr>
          <w:rFonts w:ascii="Constantia" w:hAnsi="Constantia"/>
          <w:color w:val="000000" w:themeColor="text1"/>
        </w:rPr>
        <w:t xml:space="preserve">: </w:t>
      </w:r>
      <w:r>
        <w:rPr>
          <w:rFonts w:ascii="Constantia" w:hAnsi="Constantia"/>
          <w:color w:val="000000" w:themeColor="text1"/>
        </w:rPr>
        <w:t>A rendeletnek</w:t>
      </w:r>
      <w:r w:rsidRPr="007B00BE">
        <w:rPr>
          <w:rFonts w:ascii="Constantia" w:hAnsi="Constantia"/>
          <w:color w:val="000000" w:themeColor="text1"/>
        </w:rPr>
        <w:t xml:space="preserve"> adminisztratív terheket jelentősen befolyásoló hatása nincs.</w:t>
      </w:r>
    </w:p>
    <w:p w14:paraId="7F2C20F8" w14:textId="77777777" w:rsidR="00AC129B" w:rsidRPr="00D3013B" w:rsidRDefault="00AC129B" w:rsidP="00AC129B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D3013B">
        <w:rPr>
          <w:rFonts w:ascii="Constantia" w:hAnsi="Constantia"/>
          <w:b/>
          <w:color w:val="000000" w:themeColor="text1"/>
        </w:rPr>
        <w:t xml:space="preserve">A jogszabály megalkotásának szükségessége, illetve a jogalkotás elmaradásának várható következménye: </w:t>
      </w:r>
      <w:r w:rsidRPr="00D3013B">
        <w:rPr>
          <w:rFonts w:ascii="Constantia" w:hAnsi="Constantia"/>
          <w:color w:val="000000" w:themeColor="text1"/>
        </w:rPr>
        <w:t xml:space="preserve">Az </w:t>
      </w:r>
      <w:r w:rsidRPr="00D3013B">
        <w:rPr>
          <w:rFonts w:ascii="Constantia" w:hAnsi="Constantia"/>
        </w:rPr>
        <w:t>egészségügyi alapellátásról szóló 2015. évi CXXIII. törvény szabályozta valamennyi „körzetes” feladat-megosztásban működő alapellátás területének rendeletben történő meghatározását.</w:t>
      </w:r>
      <w:r>
        <w:rPr>
          <w:rFonts w:ascii="Constantia" w:hAnsi="Constantia"/>
        </w:rPr>
        <w:t xml:space="preserve"> Ammenyiben bármilyen okból változnak a körzetek, az a rendelet módosítását </w:t>
      </w:r>
      <w:r w:rsidR="00307982">
        <w:rPr>
          <w:rFonts w:ascii="Constantia" w:hAnsi="Constantia"/>
        </w:rPr>
        <w:t>teszi szükségessé</w:t>
      </w:r>
      <w:r>
        <w:rPr>
          <w:rFonts w:ascii="Constantia" w:hAnsi="Constantia"/>
        </w:rPr>
        <w:t>.</w:t>
      </w:r>
    </w:p>
    <w:p w14:paraId="5AF9D815" w14:textId="77777777" w:rsidR="00AC129B" w:rsidRPr="00D3013B" w:rsidRDefault="00AC129B" w:rsidP="00AC129B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D3013B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D3013B">
        <w:rPr>
          <w:rFonts w:ascii="Constantia" w:hAnsi="Constantia"/>
          <w:color w:val="000000" w:themeColor="text1"/>
        </w:rPr>
        <w:t xml:space="preserve">: </w:t>
      </w:r>
    </w:p>
    <w:p w14:paraId="3DE37F90" w14:textId="77777777" w:rsidR="00AC129B" w:rsidRPr="007B00BE" w:rsidRDefault="00AC129B" w:rsidP="00AC129B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7B00BE">
        <w:rPr>
          <w:rFonts w:ascii="Constantia" w:hAnsi="Constantia"/>
          <w:color w:val="000000" w:themeColor="text1"/>
        </w:rPr>
        <w:t>A jogszabály alkalmazásához szükséges személyi, szervezeti, tárgyi és pénzügyi feltételek rendelkezésre állnak</w:t>
      </w:r>
      <w:r>
        <w:rPr>
          <w:rFonts w:ascii="Constantia" w:hAnsi="Constantia"/>
          <w:color w:val="000000" w:themeColor="text1"/>
        </w:rPr>
        <w:t>, illetve azt a NEAK finanszírozás biztosítja az érintett</w:t>
      </w:r>
      <w:r w:rsidR="00B70594">
        <w:rPr>
          <w:rFonts w:ascii="Constantia" w:hAnsi="Constantia"/>
          <w:color w:val="000000" w:themeColor="text1"/>
        </w:rPr>
        <w:t>ek</w:t>
      </w:r>
      <w:r>
        <w:rPr>
          <w:rFonts w:ascii="Constantia" w:hAnsi="Constantia"/>
          <w:color w:val="000000" w:themeColor="text1"/>
        </w:rPr>
        <w:t xml:space="preserve"> számára</w:t>
      </w:r>
      <w:r w:rsidRPr="007B00BE">
        <w:rPr>
          <w:rFonts w:ascii="Constantia" w:hAnsi="Constantia"/>
          <w:color w:val="000000" w:themeColor="text1"/>
        </w:rPr>
        <w:t>.</w:t>
      </w:r>
    </w:p>
    <w:p w14:paraId="5BA17A4C" w14:textId="77777777" w:rsidR="00AC129B" w:rsidRDefault="00AC129B" w:rsidP="00AC129B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5CDD9E48" w14:textId="77777777"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Utólagos hatásvizsgálat</w:t>
      </w:r>
      <w:r w:rsidRPr="00A3067B">
        <w:rPr>
          <w:rFonts w:ascii="Constantia" w:hAnsi="Constantia"/>
          <w:color w:val="000000" w:themeColor="text1"/>
        </w:rPr>
        <w:t>:</w:t>
      </w:r>
    </w:p>
    <w:p w14:paraId="3D0E26D8" w14:textId="77777777" w:rsidR="00AC129B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62F4FB84" w14:textId="77777777"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color w:val="000000" w:themeColor="text1"/>
        </w:rPr>
        <w:t>Javasolt-e a rendelet utólagos hatásvizsgálata? Igen/</w:t>
      </w:r>
      <w:r w:rsidRPr="00CB0F4F">
        <w:rPr>
          <w:rFonts w:ascii="Constantia" w:hAnsi="Constantia"/>
          <w:b/>
          <w:color w:val="000000" w:themeColor="text1"/>
          <w:u w:val="single"/>
        </w:rPr>
        <w:t>Nem</w:t>
      </w:r>
    </w:p>
    <w:p w14:paraId="6B61E8FE" w14:textId="77777777" w:rsidR="00AC129B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263443A6" w14:textId="77777777"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color w:val="000000" w:themeColor="text1"/>
        </w:rPr>
        <w:t xml:space="preserve">Amennyiben igen, ennek időpontja: </w:t>
      </w:r>
      <w:r w:rsidR="00D056F3">
        <w:rPr>
          <w:rFonts w:ascii="Constantia" w:hAnsi="Constantia"/>
          <w:color w:val="000000" w:themeColor="text1"/>
        </w:rPr>
        <w:t>-</w:t>
      </w:r>
    </w:p>
    <w:p w14:paraId="3E13F605" w14:textId="77777777" w:rsidR="00AC129B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1ED1F8EE" w14:textId="77777777"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color w:val="000000" w:themeColor="text1"/>
        </w:rPr>
        <w:t>Az előzetes hatásvizsgálati lapot kitöltötte:</w:t>
      </w:r>
      <w:r>
        <w:rPr>
          <w:rFonts w:ascii="Constantia" w:hAnsi="Constantia"/>
          <w:color w:val="000000" w:themeColor="text1"/>
        </w:rPr>
        <w:t xml:space="preserve"> </w:t>
      </w:r>
      <w:r w:rsidR="00CF7BE0" w:rsidRPr="00CF7BE0">
        <w:rPr>
          <w:rFonts w:ascii="Constantia" w:hAnsi="Constantia"/>
        </w:rPr>
        <w:t>Szecskó Anett ügyintéző</w:t>
      </w:r>
    </w:p>
    <w:p w14:paraId="78479780" w14:textId="77777777" w:rsidR="00AC129B" w:rsidRDefault="00AC129B" w:rsidP="00AC129B">
      <w:pPr>
        <w:rPr>
          <w:rFonts w:ascii="Constantia" w:hAnsi="Constantia"/>
        </w:rPr>
      </w:pPr>
    </w:p>
    <w:p w14:paraId="6D8C0FEB" w14:textId="549F877C" w:rsidR="00AC129B" w:rsidRDefault="00AC129B" w:rsidP="00AC129B">
      <w:pPr>
        <w:rPr>
          <w:rFonts w:ascii="Constantia" w:hAnsi="Constantia"/>
          <w:b/>
        </w:rPr>
      </w:pPr>
      <w:r w:rsidRPr="00A3067B">
        <w:rPr>
          <w:rFonts w:ascii="Constantia" w:hAnsi="Constantia"/>
        </w:rPr>
        <w:t>Jóváhagyta:</w:t>
      </w:r>
      <w:r>
        <w:rPr>
          <w:rFonts w:ascii="Constantia" w:hAnsi="Constantia"/>
        </w:rPr>
        <w:t xml:space="preserve"> </w:t>
      </w:r>
      <w:r w:rsidR="00D056F3">
        <w:rPr>
          <w:rFonts w:ascii="Constantia" w:hAnsi="Constantia"/>
        </w:rPr>
        <w:t>D</w:t>
      </w:r>
      <w:r>
        <w:rPr>
          <w:rFonts w:ascii="Constantia" w:hAnsi="Constantia"/>
          <w:color w:val="000000" w:themeColor="text1"/>
        </w:rPr>
        <w:t xml:space="preserve">r. </w:t>
      </w:r>
      <w:r w:rsidR="002C5746">
        <w:rPr>
          <w:rFonts w:ascii="Constantia" w:hAnsi="Constantia"/>
          <w:color w:val="000000" w:themeColor="text1"/>
        </w:rPr>
        <w:t>Barta Viktor</w:t>
      </w:r>
      <w:r>
        <w:rPr>
          <w:rFonts w:ascii="Constantia" w:hAnsi="Constantia"/>
          <w:color w:val="000000" w:themeColor="text1"/>
        </w:rPr>
        <w:t xml:space="preserve"> jegyző</w:t>
      </w:r>
    </w:p>
    <w:p w14:paraId="314BA57B" w14:textId="77777777" w:rsidR="00DA7CC2" w:rsidRDefault="00DA7CC2"/>
    <w:sectPr w:rsidR="00DA7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055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29B"/>
    <w:rsid w:val="000651FE"/>
    <w:rsid w:val="00065F0D"/>
    <w:rsid w:val="00133E48"/>
    <w:rsid w:val="002118FA"/>
    <w:rsid w:val="00243058"/>
    <w:rsid w:val="002C5746"/>
    <w:rsid w:val="00307982"/>
    <w:rsid w:val="00316927"/>
    <w:rsid w:val="003A763D"/>
    <w:rsid w:val="00451684"/>
    <w:rsid w:val="004B7010"/>
    <w:rsid w:val="0062219D"/>
    <w:rsid w:val="00654C47"/>
    <w:rsid w:val="006727EA"/>
    <w:rsid w:val="00736727"/>
    <w:rsid w:val="0082737E"/>
    <w:rsid w:val="009D53DC"/>
    <w:rsid w:val="00AC129B"/>
    <w:rsid w:val="00AE4ECD"/>
    <w:rsid w:val="00B0467A"/>
    <w:rsid w:val="00B35B42"/>
    <w:rsid w:val="00B70594"/>
    <w:rsid w:val="00B9238C"/>
    <w:rsid w:val="00BA63DF"/>
    <w:rsid w:val="00C7188D"/>
    <w:rsid w:val="00CD1E8B"/>
    <w:rsid w:val="00CF7BE0"/>
    <w:rsid w:val="00D056F3"/>
    <w:rsid w:val="00D06B84"/>
    <w:rsid w:val="00D51219"/>
    <w:rsid w:val="00DA6F8B"/>
    <w:rsid w:val="00DA7CC2"/>
    <w:rsid w:val="00F15C8A"/>
    <w:rsid w:val="00FB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099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54C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C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Hajduné Tóth Erika</cp:lastModifiedBy>
  <cp:revision>11</cp:revision>
  <cp:lastPrinted>2022-04-08T08:05:00Z</cp:lastPrinted>
  <dcterms:created xsi:type="dcterms:W3CDTF">2022-04-13T10:35:00Z</dcterms:created>
  <dcterms:modified xsi:type="dcterms:W3CDTF">2024-11-11T09:13:00Z</dcterms:modified>
</cp:coreProperties>
</file>