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2E6696" w14:textId="122A12CA" w:rsidR="0063656A" w:rsidRPr="003224B9" w:rsidRDefault="00116215">
      <w:pPr>
        <w:pStyle w:val="Szvegtrzs"/>
        <w:spacing w:before="240" w:after="48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 xml:space="preserve">Eger Megyei Jogú Város Önkormányzata Közgyűlésének </w:t>
      </w:r>
      <w:r w:rsidR="006A2663" w:rsidRPr="003224B9">
        <w:rPr>
          <w:rFonts w:ascii="Constantia" w:hAnsi="Constantia"/>
          <w:b/>
          <w:bCs/>
        </w:rPr>
        <w:t xml:space="preserve">rendelettervezete </w:t>
      </w:r>
      <w:r w:rsidRPr="003224B9">
        <w:rPr>
          <w:rFonts w:ascii="Constantia" w:hAnsi="Constantia"/>
          <w:b/>
          <w:bCs/>
        </w:rPr>
        <w:t>a távhőszolgáltatásról</w:t>
      </w:r>
    </w:p>
    <w:p w14:paraId="0E2244D0" w14:textId="77777777" w:rsidR="0063656A" w:rsidRPr="003224B9" w:rsidRDefault="00116215">
      <w:pPr>
        <w:pStyle w:val="Szvegtrzs"/>
        <w:spacing w:before="22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Eger Megyei Jogú Város Önkormányzatának Közgyűlése a távhőszolgáltatásról szóló 2005. évi XVIII. törvény 59/D. § és 60. § (3) </w:t>
      </w:r>
      <w:r w:rsidRPr="003224B9">
        <w:rPr>
          <w:rFonts w:ascii="Constantia" w:hAnsi="Constantia"/>
        </w:rPr>
        <w:t>bekezdésében kapott felhatalmazás alapján és a 6. § (2) bekezdés j) pontjában meghatározott feladatkörében, valamint Magyarország helyi önkormányzatairól szóló 2011. évi CLXXXIX. törvény 13. § (1) bekezdésének 20. pontjában meghatározott feladatkörében eljárva a következőket rendeli el:</w:t>
      </w:r>
    </w:p>
    <w:p w14:paraId="53B69B81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1. §</w:t>
      </w:r>
    </w:p>
    <w:p w14:paraId="1F7889B1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(1) E rendelet hatálya kiterjed Eger Megyei Jogú Város területén lévő lakóépületeket, vegyes célra használt épületeket, nem lakás céljára szolgáló épületeket (továbbiakban együtt: épület) távhővel ellátó gazdálkodó szervezetekre (továbbiakban: távhőszolgáltató) és az ellátást igénybe vevő </w:t>
      </w:r>
      <w:r w:rsidRPr="003224B9">
        <w:rPr>
          <w:rFonts w:ascii="Constantia" w:hAnsi="Constantia"/>
          <w:b/>
          <w:bCs/>
        </w:rPr>
        <w:t>felhasználókra és díjfizetőkre</w:t>
      </w:r>
      <w:r w:rsidRPr="003224B9">
        <w:rPr>
          <w:rFonts w:ascii="Constantia" w:hAnsi="Constantia"/>
        </w:rPr>
        <w:t>.</w:t>
      </w:r>
    </w:p>
    <w:p w14:paraId="6E471F5E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(2) Nem tartozik a rendelet hatálya alá a központi fűtés- és melegvíz szolgáltatás szabályozása, díjmegállapítása.</w:t>
      </w:r>
    </w:p>
    <w:p w14:paraId="398B51B5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2. §</w:t>
      </w:r>
    </w:p>
    <w:p w14:paraId="30CA70A2" w14:textId="0536E57B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(1) E rendelet</w:t>
      </w:r>
      <w:r w:rsidR="006A2663" w:rsidRPr="003224B9">
        <w:rPr>
          <w:rFonts w:ascii="Constantia" w:hAnsi="Constantia"/>
        </w:rPr>
        <w:t xml:space="preserve"> </w:t>
      </w:r>
      <w:r w:rsidRPr="003224B9">
        <w:rPr>
          <w:rFonts w:ascii="Constantia" w:hAnsi="Constantia"/>
        </w:rPr>
        <w:t>alkalmazásában</w:t>
      </w:r>
    </w:p>
    <w:p w14:paraId="614FD58F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1.</w:t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  <w:i/>
          <w:iCs/>
        </w:rPr>
        <w:t>f</w:t>
      </w:r>
      <w:r w:rsidRPr="003224B9">
        <w:rPr>
          <w:rFonts w:ascii="Constantia" w:hAnsi="Constantia"/>
          <w:b/>
          <w:bCs/>
          <w:i/>
          <w:iCs/>
        </w:rPr>
        <w:t>elhasználó</w:t>
      </w:r>
      <w:r w:rsidRPr="003224B9">
        <w:rPr>
          <w:rFonts w:ascii="Constantia" w:hAnsi="Constantia"/>
        </w:rPr>
        <w:t xml:space="preserve">: a távhővel ellátott épületnek, építménynek a távhőszolgáltatóval a távhő mérés szerint történő szolgáltatására vonatkozóan közüzemi szerződéses jogviszonyban álló tulajdonosa, több tulajdonos esetén a tulajdonosok közössége (a társasház, a lakásszövetkezet, a </w:t>
      </w:r>
      <w:r w:rsidRPr="003224B9">
        <w:rPr>
          <w:rFonts w:ascii="Constantia" w:hAnsi="Constantia"/>
          <w:i/>
          <w:iCs/>
        </w:rPr>
        <w:t>Polgári Törvénykönyvről szóló 2013. évi V. törvény</w:t>
      </w:r>
      <w:r w:rsidRPr="003224B9">
        <w:rPr>
          <w:rFonts w:ascii="Constantia" w:hAnsi="Constantia"/>
        </w:rPr>
        <w:t xml:space="preserve"> (Ptk.) szerinti közös tulajdon esetén a tulajdonostársak).</w:t>
      </w:r>
    </w:p>
    <w:p w14:paraId="4EC0BF91" w14:textId="77777777" w:rsidR="0063656A" w:rsidRPr="003224B9" w:rsidRDefault="00116215">
      <w:pPr>
        <w:pStyle w:val="Szvegtrzs"/>
        <w:spacing w:after="0" w:line="240" w:lineRule="auto"/>
        <w:ind w:left="980" w:hanging="40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  <w:i/>
          <w:iCs/>
        </w:rPr>
        <w:t>lakossági felhasználó</w:t>
      </w:r>
      <w:r w:rsidRPr="003224B9">
        <w:rPr>
          <w:rFonts w:ascii="Constantia" w:hAnsi="Constantia"/>
        </w:rPr>
        <w:t xml:space="preserve">: a lakóépület és a vegyes célra használt épület tulajdonosa, tulajdonosainak közössége, </w:t>
      </w:r>
      <w:proofErr w:type="spellStart"/>
      <w:r w:rsidRPr="003224B9">
        <w:rPr>
          <w:rFonts w:ascii="Constantia" w:hAnsi="Constantia"/>
        </w:rPr>
        <w:t>épületrészenkénti</w:t>
      </w:r>
      <w:proofErr w:type="spellEnd"/>
      <w:r w:rsidRPr="003224B9">
        <w:rPr>
          <w:rFonts w:ascii="Constantia" w:hAnsi="Constantia"/>
        </w:rPr>
        <w:t xml:space="preserve"> hőmennyiségmérés esetén az egyes épületrészek tulajdonosa</w:t>
      </w:r>
    </w:p>
    <w:p w14:paraId="5381F7BD" w14:textId="77777777" w:rsidR="0063656A" w:rsidRPr="003224B9" w:rsidRDefault="00116215">
      <w:pPr>
        <w:pStyle w:val="Szvegtrzs"/>
        <w:spacing w:after="0" w:line="240" w:lineRule="auto"/>
        <w:ind w:left="980" w:hanging="40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  <w:i/>
          <w:iCs/>
        </w:rPr>
        <w:t>egyéb felhasználó</w:t>
      </w:r>
      <w:r w:rsidRPr="003224B9">
        <w:rPr>
          <w:rFonts w:ascii="Constantia" w:hAnsi="Constantia"/>
        </w:rPr>
        <w:t xml:space="preserve">: az 1. pontban nem említett épület, építmény tulajdonosa, tulajdonosainak közössége, </w:t>
      </w:r>
      <w:proofErr w:type="spellStart"/>
      <w:r w:rsidRPr="003224B9">
        <w:rPr>
          <w:rFonts w:ascii="Constantia" w:hAnsi="Constantia"/>
        </w:rPr>
        <w:t>épületrészenkénti</w:t>
      </w:r>
      <w:proofErr w:type="spellEnd"/>
      <w:r w:rsidRPr="003224B9">
        <w:rPr>
          <w:rFonts w:ascii="Constantia" w:hAnsi="Constantia"/>
        </w:rPr>
        <w:t xml:space="preserve"> hőmennyiségmérés esetén az egyes épületrészek tulajdonosa.</w:t>
      </w:r>
    </w:p>
    <w:p w14:paraId="3C09F43D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2.</w:t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  <w:b/>
          <w:bCs/>
          <w:i/>
          <w:iCs/>
        </w:rPr>
        <w:t>díjfizető</w:t>
      </w:r>
      <w:r w:rsidRPr="003224B9">
        <w:rPr>
          <w:rFonts w:ascii="Constantia" w:hAnsi="Constantia"/>
        </w:rPr>
        <w:t xml:space="preserve">: </w:t>
      </w:r>
      <w:proofErr w:type="spellStart"/>
      <w:r w:rsidRPr="003224B9">
        <w:rPr>
          <w:rFonts w:ascii="Constantia" w:hAnsi="Constantia"/>
        </w:rPr>
        <w:t>épületrészenkénti</w:t>
      </w:r>
      <w:proofErr w:type="spellEnd"/>
      <w:r w:rsidRPr="003224B9">
        <w:rPr>
          <w:rFonts w:ascii="Constantia" w:hAnsi="Constantia"/>
        </w:rPr>
        <w:t xml:space="preserve"> díjmegosztás esetén az épületrésznek a közüzemi szerződésben megnevezett tulajdonosa, a távhőszolgáltatásról szóló 2005. évi XVIII. törvényben (a továbbiakban: </w:t>
      </w:r>
      <w:proofErr w:type="spellStart"/>
      <w:r w:rsidRPr="003224B9">
        <w:rPr>
          <w:rFonts w:ascii="Constantia" w:hAnsi="Constantia"/>
        </w:rPr>
        <w:t>Tszt</w:t>
      </w:r>
      <w:proofErr w:type="spellEnd"/>
      <w:r w:rsidRPr="003224B9">
        <w:rPr>
          <w:rFonts w:ascii="Constantia" w:hAnsi="Constantia"/>
        </w:rPr>
        <w:t>.) meghatározott esetekben az épület építmény vagy az épületrész bérlője, használója.</w:t>
      </w:r>
    </w:p>
    <w:p w14:paraId="64EB952F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3.</w:t>
      </w:r>
      <w:r w:rsidRPr="003224B9">
        <w:rPr>
          <w:rFonts w:ascii="Constantia" w:hAnsi="Constantia"/>
        </w:rPr>
        <w:tab/>
      </w:r>
      <w:proofErr w:type="spellStart"/>
      <w:proofErr w:type="gramStart"/>
      <w:r w:rsidRPr="003224B9">
        <w:rPr>
          <w:rFonts w:ascii="Constantia" w:hAnsi="Constantia"/>
          <w:i/>
          <w:iCs/>
        </w:rPr>
        <w:t>lakóépület</w:t>
      </w:r>
      <w:r w:rsidRPr="003224B9">
        <w:rPr>
          <w:rFonts w:ascii="Constantia" w:hAnsi="Constantia"/>
        </w:rPr>
        <w:t>:olyan</w:t>
      </w:r>
      <w:proofErr w:type="spellEnd"/>
      <w:proofErr w:type="gramEnd"/>
      <w:r w:rsidRPr="003224B9">
        <w:rPr>
          <w:rFonts w:ascii="Constantia" w:hAnsi="Constantia"/>
        </w:rPr>
        <w:t xml:space="preserve"> épület: olyan épület, amelyben kizárólag vagy túlnyomó részben, az épület összes alapterületének 50%-át meghaladó mértékben lakás van.</w:t>
      </w:r>
    </w:p>
    <w:p w14:paraId="3CC721C9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4.</w:t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  <w:i/>
          <w:iCs/>
        </w:rPr>
        <w:t>vegyes célra használt épület</w:t>
      </w:r>
      <w:r w:rsidRPr="003224B9">
        <w:rPr>
          <w:rFonts w:ascii="Constantia" w:hAnsi="Constantia"/>
        </w:rPr>
        <w:t>: az, amelyben a lakások alapterülete az épület összes alapterületének 50%-át nem haladja meg.</w:t>
      </w:r>
    </w:p>
    <w:p w14:paraId="3E680392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5.</w:t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  <w:i/>
          <w:iCs/>
        </w:rPr>
        <w:t>nem lakás céljára szolgáló épület</w:t>
      </w:r>
      <w:r w:rsidRPr="003224B9">
        <w:rPr>
          <w:rFonts w:ascii="Constantia" w:hAnsi="Constantia"/>
        </w:rPr>
        <w:t>: olyan épület, amely kizárólag ipari, épít ipari, mez gazdasági, vízgazdálkodási, kereskedelmi, tárolási, szolgáltatási, igazgatási, honvédelmi, rendészeti, művelődési, oktatási, kutatási, egészségügyi, szociális, jóléti és más gazdasági célt szolgál.</w:t>
      </w:r>
    </w:p>
    <w:p w14:paraId="375DD2EE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6.</w:t>
      </w:r>
      <w:r w:rsidRPr="003224B9">
        <w:rPr>
          <w:rFonts w:ascii="Constantia" w:hAnsi="Constantia"/>
        </w:rPr>
        <w:tab/>
        <w:t>8.</w:t>
      </w:r>
      <w:r w:rsidRPr="003224B9">
        <w:rPr>
          <w:rFonts w:ascii="Constantia" w:hAnsi="Constantia"/>
          <w:i/>
          <w:iCs/>
        </w:rPr>
        <w:t>közös használatra szolgáló helyiség általában</w:t>
      </w:r>
      <w:r w:rsidRPr="003224B9">
        <w:rPr>
          <w:rFonts w:ascii="Constantia" w:hAnsi="Constantia"/>
        </w:rPr>
        <w:t xml:space="preserve">: a mosókonyha, a szárítóhelyiség, a közös fürdőszoba, a közös WC, a gyermekkocsi- és kerékpártároló helyiség, a közös pince, illetve padlástérség.9. </w:t>
      </w:r>
      <w:r w:rsidRPr="003224B9">
        <w:rPr>
          <w:rFonts w:ascii="Constantia" w:hAnsi="Constantia"/>
          <w:i/>
          <w:iCs/>
        </w:rPr>
        <w:t>közös használatra szolgáló terület</w:t>
      </w:r>
      <w:r w:rsidRPr="003224B9">
        <w:rPr>
          <w:rFonts w:ascii="Constantia" w:hAnsi="Constantia"/>
        </w:rPr>
        <w:t>: a kapualj, a lépcsőház, a zárt folyosó.</w:t>
      </w:r>
    </w:p>
    <w:p w14:paraId="2571B49A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7.</w:t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  <w:i/>
          <w:iCs/>
        </w:rPr>
        <w:t>nem lakás céljára szolgáló helyiség általában</w:t>
      </w:r>
      <w:r w:rsidRPr="003224B9">
        <w:rPr>
          <w:rFonts w:ascii="Constantia" w:hAnsi="Constantia"/>
        </w:rPr>
        <w:t>: az üzlet, műhely rendelő, iroda, továbbá a barkácsműhely, a klubszoba, a gondnoki iroda a hozzátartozó helyiségekkel, a gépkocsitároló, valamint a lakások rendeltetésszer használatához nem szükséges és egyéb célra hasznosított helyiség,</w:t>
      </w:r>
    </w:p>
    <w:p w14:paraId="162A3E02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8.</w:t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  <w:i/>
          <w:iCs/>
        </w:rPr>
        <w:t>használati melegvíz</w:t>
      </w:r>
      <w:r w:rsidRPr="003224B9">
        <w:rPr>
          <w:rFonts w:ascii="Constantia" w:hAnsi="Constantia"/>
        </w:rPr>
        <w:t>: távhővel a hőközpontban felmelegített közműves ivóvíz.</w:t>
      </w:r>
    </w:p>
    <w:p w14:paraId="6D997FD5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(2) E rendelet alkalmazása szempontjából fűthető az a </w:t>
      </w:r>
      <w:r w:rsidRPr="003224B9">
        <w:rPr>
          <w:rFonts w:ascii="Constantia" w:hAnsi="Constantia"/>
        </w:rPr>
        <w:t>helyiség, amelyben fűtőtest vagy egyéb hőleadó berendezés vagy a szomszédos helyiségekből áramló hő, vagy ezek együttesen biztosítani tudják az építésügyi előírásokban meghatározott hőmérsékletet. Fűthető alapterületnek, vagy légtérnek e helyiségek alapterületét vagy légterét kell tekinteni.</w:t>
      </w:r>
    </w:p>
    <w:p w14:paraId="34C9F58E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(3) E rendelet alkalmazásában egyebekben a </w:t>
      </w:r>
      <w:proofErr w:type="spellStart"/>
      <w:r w:rsidRPr="003224B9">
        <w:rPr>
          <w:rFonts w:ascii="Constantia" w:hAnsi="Constantia"/>
        </w:rPr>
        <w:t>Tszt</w:t>
      </w:r>
      <w:proofErr w:type="spellEnd"/>
      <w:r w:rsidRPr="003224B9">
        <w:rPr>
          <w:rFonts w:ascii="Constantia" w:hAnsi="Constantia"/>
        </w:rPr>
        <w:t>. 3. §-</w:t>
      </w:r>
      <w:proofErr w:type="spellStart"/>
      <w:r w:rsidRPr="003224B9">
        <w:rPr>
          <w:rFonts w:ascii="Constantia" w:hAnsi="Constantia"/>
        </w:rPr>
        <w:t>ában</w:t>
      </w:r>
      <w:proofErr w:type="spellEnd"/>
      <w:r w:rsidRPr="003224B9">
        <w:rPr>
          <w:rFonts w:ascii="Constantia" w:hAnsi="Constantia"/>
        </w:rPr>
        <w:t xml:space="preserve"> és a Távhő szolgáltatási Közüzemi Szabályzat (a továbbiakban: </w:t>
      </w:r>
      <w:proofErr w:type="spellStart"/>
      <w:r w:rsidRPr="003224B9">
        <w:rPr>
          <w:rFonts w:ascii="Constantia" w:hAnsi="Constantia"/>
        </w:rPr>
        <w:t>TKSz</w:t>
      </w:r>
      <w:proofErr w:type="spellEnd"/>
      <w:r w:rsidRPr="003224B9">
        <w:rPr>
          <w:rFonts w:ascii="Constantia" w:hAnsi="Constantia"/>
        </w:rPr>
        <w:t>) 2.1. pontjában meghatározott fogalmakat kell alkalmazni.</w:t>
      </w:r>
    </w:p>
    <w:p w14:paraId="42DE2712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3. §</w:t>
      </w:r>
    </w:p>
    <w:p w14:paraId="5F8DB940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(1) A távhőszolgáltató a felhasználói hőközpontban, a szolgáltatói hőközpontban (a továbbiakban együttesen: hőközpont) a szolgáltatott távhő mennyiségét mérni és aszerint elszámolni köteles. Az elszámolásra szolgáló mérő (távhő mennyiségmérő) a távhő szolgáltató tulajdona, annak karbantartása, időszakos </w:t>
      </w:r>
      <w:proofErr w:type="spellStart"/>
      <w:r w:rsidRPr="003224B9">
        <w:rPr>
          <w:rFonts w:ascii="Constantia" w:hAnsi="Constantia"/>
        </w:rPr>
        <w:t>újrahitelesítése</w:t>
      </w:r>
      <w:proofErr w:type="spellEnd"/>
      <w:r w:rsidRPr="003224B9">
        <w:rPr>
          <w:rFonts w:ascii="Constantia" w:hAnsi="Constantia"/>
        </w:rPr>
        <w:t>, cseréje a távhőszolgáltató kötelezettsége.</w:t>
      </w:r>
    </w:p>
    <w:p w14:paraId="5B08B2AD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(2) Több épületet, vagy több társasházi közösséget ellátó hőközpont (szolgáltatói hőközpont) esetén a szolgáltatott távhő elszámolásának alapja a hőközpontban hitelesen mért hőmennyiség.</w:t>
      </w:r>
    </w:p>
    <w:p w14:paraId="77BB7C4C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(3) A szolgáltatói hőközpontban mért hőmennyiség felosztásáról az érintett felhasználók állapodnak meg a szolgáltatóval, melyhez költségosztó készülékeket is alkalmazhatnak. Az egyes épületek csatlakozási pontján, vagy a hőfogadó állomáson elhelyezett mérőműszer a hőközpontban lévő hőmennyiségmérő költségmegosztója.</w:t>
      </w:r>
    </w:p>
    <w:p w14:paraId="6E9C6D90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(4) A felhasznált távhő mennyisége épületrészenként (például lakásonként) is mérhető és elszámolható, ha a felhasználók a távhő mennyiségének hiteles mérésére alkalmas </w:t>
      </w:r>
      <w:r w:rsidRPr="003224B9">
        <w:rPr>
          <w:rFonts w:ascii="Constantia" w:hAnsi="Constantia"/>
        </w:rPr>
        <w:t>mérőeszköz felszerelését, valamint a felhasználói berendezés ehhez szükséges átalakítását a saját költségükön, az épület valamennyi épületrészében megvalósítják, és a hiteles mérés feltételeit folyamatosan biztosítják.</w:t>
      </w:r>
    </w:p>
    <w:p w14:paraId="02241431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(5) Szolgáltató köteles a fűtési célú és a használati melegvíz-készítés céljára felhasznált hőt a </w:t>
      </w:r>
      <w:proofErr w:type="spellStart"/>
      <w:r w:rsidRPr="003224B9">
        <w:rPr>
          <w:rFonts w:ascii="Constantia" w:hAnsi="Constantia"/>
        </w:rPr>
        <w:t>TKSz</w:t>
      </w:r>
      <w:proofErr w:type="spellEnd"/>
      <w:r w:rsidRPr="003224B9">
        <w:rPr>
          <w:rFonts w:ascii="Constantia" w:hAnsi="Constantia"/>
        </w:rPr>
        <w:t>-ben foglaltak szerint elkülönítetten meghatározni és számlázni, ha azt a felhasználó kéri.</w:t>
      </w:r>
    </w:p>
    <w:p w14:paraId="3D275E6A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(6) Ha a szolgáltató és a felhasználó a közüzemi szerződésben másként meg nem állapodnak, éves melegvíz-készítési célú hőnek a fűtés nélküli (nyári) hónapokban mért hőmennyiség egy havi átlagának 12-szeresét kell tekinteni.</w:t>
      </w:r>
    </w:p>
    <w:p w14:paraId="2A5DCE58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(7) Fűtési célú hőmennyiségnek az összes mért hőmennyiség és a (6) bekezdés szerint megállapított hőmennyiség különbségét kell tekinteni.</w:t>
      </w:r>
    </w:p>
    <w:p w14:paraId="6BC1DB89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4. §</w:t>
      </w:r>
    </w:p>
    <w:p w14:paraId="0710013F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(1) A távhőszolgáltatás díja (legmagasabb hatósági ár) a szolgáltató állandó költségeire fedezetet nyújtó szolgáltatási díjból, vagyis</w:t>
      </w:r>
    </w:p>
    <w:p w14:paraId="0C0C85B6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alapdíjból és</w:t>
      </w:r>
    </w:p>
    <w:p w14:paraId="577256F4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>a hőközpontban mért (megállapított) távhő mennyiségéért fizetendő</w:t>
      </w:r>
    </w:p>
    <w:p w14:paraId="587EC58D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hődíjból áll.</w:t>
      </w:r>
    </w:p>
    <w:p w14:paraId="126D962E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(2) Eger Megyei Jogú Város közigazgatási területén távhőszolgáltatási átalánydíj nem alkalmazható.</w:t>
      </w:r>
    </w:p>
    <w:p w14:paraId="11272207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(3) A távhőszolgáltatás díja nem tartalmazza a felhasználó által rendelkezésre bocsátott, melegvíz-készítés célú közműves ivóvíz díját és a felhasználói fűtési vezetékhálózat feltöltéséhez szükséges töltővíz díját.</w:t>
      </w:r>
    </w:p>
    <w:p w14:paraId="25512CAE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5. §</w:t>
      </w:r>
    </w:p>
    <w:p w14:paraId="362BC349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(1) Az alapdíj éves díj, amelyet a lakossági felhasználónak és díjfizetőnek a használatában álló, fűthető helyiségek légtérfogata (Ft/lm</w:t>
      </w:r>
      <w:r w:rsidRPr="003224B9">
        <w:rPr>
          <w:rFonts w:ascii="Constantia" w:hAnsi="Constantia"/>
          <w:vertAlign w:val="superscript"/>
        </w:rPr>
        <w:t>3</w:t>
      </w:r>
      <w:r w:rsidRPr="003224B9">
        <w:rPr>
          <w:rFonts w:ascii="Constantia" w:hAnsi="Constantia"/>
        </w:rPr>
        <w:t>/év) után kell fizetni. Abban az esetben, ha az épületben a távhőt csak melegvíz célú felhasználásra vételezik, a melegvíz alapdíj összegének meghatározásához az épület légtérfogatát kell alapul venni.</w:t>
      </w:r>
    </w:p>
    <w:p w14:paraId="47EFAA93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(2) A lakossági és az egyéb felhasználó távhővel ellátott épületeiben, ha a távhőt</w:t>
      </w:r>
    </w:p>
    <w:p w14:paraId="506FA830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csak melegvíz felhasználásra vételezik, csak a melegvízre vonatkozó,</w:t>
      </w:r>
    </w:p>
    <w:p w14:paraId="66940AA8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>csak fűtés felhasználásra vételezik, csak a fűtésre vonatkozó,</w:t>
      </w:r>
    </w:p>
    <w:p w14:paraId="5869CB56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c)</w:t>
      </w:r>
      <w:r w:rsidRPr="003224B9">
        <w:rPr>
          <w:rFonts w:ascii="Constantia" w:hAnsi="Constantia"/>
        </w:rPr>
        <w:tab/>
        <w:t>fűtés és melegvíz felhasználásra vételezik, az együttes</w:t>
      </w:r>
    </w:p>
    <w:p w14:paraId="6DAA8931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alapdíjat kell alkalmazni. Az együttes alapdíj alkalmazása szempontjából az épületen belül az </w:t>
      </w:r>
      <w:r w:rsidRPr="003224B9">
        <w:rPr>
          <w:rFonts w:ascii="Constantia" w:hAnsi="Constantia"/>
        </w:rPr>
        <w:t>egyes helyiségek fűtési és melegvíz ellátása tekintetében a helyiségek között különbség nem tehető.</w:t>
      </w:r>
    </w:p>
    <w:p w14:paraId="425E0CAB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(3) A fűthető légtérfogat meghatározásánál</w:t>
      </w:r>
    </w:p>
    <w:p w14:paraId="2D18DD4E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alapterületként kell figyelembe venni a falsíkok közötti, valamint a beépített szekrény elfoglalt területét,</w:t>
      </w:r>
    </w:p>
    <w:p w14:paraId="2DEEC35E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>nem vehetők figyelembe módosító tényezőként a falsíkon kívül eső területek, valamint a falsíkokból kiugró falpillérek által elfoglalt területek, ha azok mértéke 0,5 m2-nél kisebbek,</w:t>
      </w:r>
    </w:p>
    <w:p w14:paraId="3BC9B24F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c)</w:t>
      </w:r>
      <w:r w:rsidRPr="003224B9">
        <w:rPr>
          <w:rFonts w:ascii="Constantia" w:hAnsi="Constantia"/>
        </w:rPr>
        <w:tab/>
        <w:t>nem vehető figyelembe az éléskamra (kamraszekrény), valamint a lakás (helyiség) légterének a gépészeti vezetékeket védő burkolat mögötti része,</w:t>
      </w:r>
    </w:p>
    <w:p w14:paraId="43CA4D47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d)</w:t>
      </w:r>
      <w:r w:rsidRPr="003224B9">
        <w:rPr>
          <w:rFonts w:ascii="Constantia" w:hAnsi="Constantia"/>
        </w:rPr>
        <w:tab/>
        <w:t>a fürdőszoba légterének csak 60%-a vehető figyelembe, ha az előírt hőmérséklet műszaki tervek alapján – kiegészítő fűtéssel (például villamos vagy gáz hősugárzó) biztosítják.</w:t>
      </w:r>
    </w:p>
    <w:p w14:paraId="430368B2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6. §</w:t>
      </w:r>
    </w:p>
    <w:p w14:paraId="74D44E93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A hődíjat a hőközpontban mért - a 3. §. (1) bekezdésében foglaltak szerint megállapított - távhőmennyiség (GJ) után kell fizetni (Ft/GJ).</w:t>
      </w:r>
    </w:p>
    <w:p w14:paraId="0FD75C69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7. §</w:t>
      </w:r>
    </w:p>
    <w:p w14:paraId="5400D720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(1) </w:t>
      </w:r>
      <w:r w:rsidRPr="003224B9">
        <w:rPr>
          <w:rFonts w:ascii="Constantia" w:hAnsi="Constantia"/>
          <w:i/>
          <w:iCs/>
        </w:rPr>
        <w:t>A szolgáltatott távhő legmagasabb díjaira a távhőszolgáltató adatszolgáltatása alapján a Magyar Energetikai és Közmű-szabályozási Hivatal tesz javaslatot és azokat az illetékes miniszter hagyja jóvá és teszi közzé.</w:t>
      </w:r>
    </w:p>
    <w:p w14:paraId="3F49BC32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(2) Az (1) bekezdésben foglalt alapdíjtétel 60%-át kell alkalmazni a lakóépületek és vegyes célra használt épületek közös használatra szolgáló helyiségei és területei, valamint a garázsok vonatkozásában.</w:t>
      </w:r>
    </w:p>
    <w:p w14:paraId="0AC58E47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8. §</w:t>
      </w:r>
    </w:p>
    <w:p w14:paraId="57EFF18A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(1) Az éves alapdíjat havonta tizenkét egyenlő részletben kell megfizetnie valamennyi felhasználónak, illetve díjfizetőnek a tárgyhónapban a számlán feltüntetett fizetési határidőig.</w:t>
      </w:r>
    </w:p>
    <w:p w14:paraId="2B121A5E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(2) A hődíjra</w:t>
      </w:r>
    </w:p>
    <w:p w14:paraId="708A5CD1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az épületet önállóan használó egyéb felhasználó a közüzemi szerződésben foglalt gyakorisággal,</w:t>
      </w:r>
    </w:p>
    <w:p w14:paraId="0717A182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>a lakossági felhasználó, a lakóépületben és a vegyes célra használt épületben lévő egyéb felhasználó és a díjfizető a megelőző elszámolási időszak fogyasztásából számított összegben a tárgyhónapban, a számlán feltüntetett fizetési határidőig részfizetést teljesít.</w:t>
      </w:r>
    </w:p>
    <w:p w14:paraId="309BBB24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(3) A távhőszolgáltató</w:t>
      </w:r>
    </w:p>
    <w:p w14:paraId="61670F6B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az épületet önállóan használó egyéb felhasználóval havonta - a tárgyhót követő hónapban,</w:t>
      </w:r>
    </w:p>
    <w:p w14:paraId="49C776AE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 xml:space="preserve">a lakossági </w:t>
      </w:r>
      <w:r w:rsidRPr="003224B9">
        <w:rPr>
          <w:rFonts w:ascii="Constantia" w:hAnsi="Constantia"/>
        </w:rPr>
        <w:t>felhasználóval, valamint a lakóépületben és a vegyes célra használt épületben lévő egyéb felhasználóval és a díjfizetővel évente egyszer számol el.</w:t>
      </w:r>
    </w:p>
    <w:p w14:paraId="0420BFE4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9. §</w:t>
      </w:r>
    </w:p>
    <w:p w14:paraId="776E36A9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(1) A 8. § (3) bekezdés b) pontja szerinti elszámolást a tárgyév június végi mérőállások </w:t>
      </w:r>
      <w:proofErr w:type="gramStart"/>
      <w:r w:rsidRPr="003224B9">
        <w:rPr>
          <w:rFonts w:ascii="Constantia" w:hAnsi="Constantia"/>
        </w:rPr>
        <w:t>figyelembe vételével</w:t>
      </w:r>
      <w:proofErr w:type="gramEnd"/>
      <w:r w:rsidRPr="003224B9">
        <w:rPr>
          <w:rFonts w:ascii="Constantia" w:hAnsi="Constantia"/>
        </w:rPr>
        <w:t xml:space="preserve"> kell elkészíteni úgy, hogy az elszámolásnál mutatkozó díjkülönbözetet szolgáltató az augusztus hóban kiállított elszámoló számlában érvényesíti.</w:t>
      </w:r>
    </w:p>
    <w:p w14:paraId="5A33F15F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(2) A díj kiegyenlítése a távhővel ellátott épület tulajdonosainak egymással történő megállapodása szerint együttesen, vagy külön-külön épületrészenként (például lakásonként) is történhet.</w:t>
      </w:r>
    </w:p>
    <w:p w14:paraId="15BFACA5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(3) Külön történő díjfizetés esetén a szolgáltató köteles </w:t>
      </w:r>
      <w:proofErr w:type="spellStart"/>
      <w:r w:rsidRPr="003224B9">
        <w:rPr>
          <w:rFonts w:ascii="Constantia" w:hAnsi="Constantia"/>
        </w:rPr>
        <w:t>díjfizetőnként</w:t>
      </w:r>
      <w:proofErr w:type="spellEnd"/>
      <w:r w:rsidRPr="003224B9">
        <w:rPr>
          <w:rFonts w:ascii="Constantia" w:hAnsi="Constantia"/>
        </w:rPr>
        <w:t xml:space="preserve"> elszámolást készíteni, és azt a díjkülönbözetet tartalmazó számlákkal együtt a díjfizetőkhöz eljuttatni.</w:t>
      </w:r>
    </w:p>
    <w:p w14:paraId="754EF554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(4) A szolgáltató a díjfizető személyében bekövetkezett változás esetén a távozó díjfizetővel az üzletszabályzatban rögzítettek alapján elszámol</w:t>
      </w:r>
    </w:p>
    <w:p w14:paraId="71268AFA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(5) Díjfizető díjtartozása sem más díjfizetőn, sem a felhasználón nem követelhető.</w:t>
      </w:r>
    </w:p>
    <w:p w14:paraId="6EAE9593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10. §</w:t>
      </w:r>
    </w:p>
    <w:p w14:paraId="3AAD12E0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(1) </w:t>
      </w:r>
      <w:proofErr w:type="spellStart"/>
      <w:r w:rsidRPr="003224B9">
        <w:rPr>
          <w:rFonts w:ascii="Constantia" w:hAnsi="Constantia"/>
        </w:rPr>
        <w:t>Díjfizetőnként</w:t>
      </w:r>
      <w:proofErr w:type="spellEnd"/>
      <w:r w:rsidRPr="003224B9">
        <w:rPr>
          <w:rFonts w:ascii="Constantia" w:hAnsi="Constantia"/>
        </w:rPr>
        <w:t xml:space="preserve"> külön történő díjfizetés esetén a díj </w:t>
      </w:r>
      <w:proofErr w:type="spellStart"/>
      <w:r w:rsidRPr="003224B9">
        <w:rPr>
          <w:rFonts w:ascii="Constantia" w:hAnsi="Constantia"/>
        </w:rPr>
        <w:t>épületrészenkénti</w:t>
      </w:r>
      <w:proofErr w:type="spellEnd"/>
      <w:r w:rsidRPr="003224B9">
        <w:rPr>
          <w:rFonts w:ascii="Constantia" w:hAnsi="Constantia"/>
        </w:rPr>
        <w:t xml:space="preserve"> megosztása és a díjfizetők részére történő számlázása a szolgáltató feladata, de azt csak a tulajdonosok által meghatározott arányok, illetve a közüzemi szerződésben foglaltak szerint végezheti.</w:t>
      </w:r>
    </w:p>
    <w:p w14:paraId="1CB9F990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(2) Ha a távhővel ellátott épület tulajdonosai a hőközpontban mért távhő mennyiség hődíjának </w:t>
      </w:r>
      <w:proofErr w:type="spellStart"/>
      <w:r w:rsidRPr="003224B9">
        <w:rPr>
          <w:rFonts w:ascii="Constantia" w:hAnsi="Constantia"/>
        </w:rPr>
        <w:t>épületrészenkénti</w:t>
      </w:r>
      <w:proofErr w:type="spellEnd"/>
      <w:r w:rsidRPr="003224B9">
        <w:rPr>
          <w:rFonts w:ascii="Constantia" w:hAnsi="Constantia"/>
        </w:rPr>
        <w:t xml:space="preserve"> (</w:t>
      </w:r>
      <w:proofErr w:type="spellStart"/>
      <w:r w:rsidRPr="003224B9">
        <w:rPr>
          <w:rFonts w:ascii="Constantia" w:hAnsi="Constantia"/>
        </w:rPr>
        <w:t>díjfizetőnkénti</w:t>
      </w:r>
      <w:proofErr w:type="spellEnd"/>
      <w:r w:rsidRPr="003224B9">
        <w:rPr>
          <w:rFonts w:ascii="Constantia" w:hAnsi="Constantia"/>
        </w:rPr>
        <w:t>) megosztásához a hőleadó berendezésekre és a melegvízcsapokat megelőző vezeték szakaszokra szerelt költségmegosztókat kívánnak alkalmazni, a költségmegosztók felszerelésének és a szükséges egyéb átalakításnak költségei - más megállapodás hiányában - a lakossági vagy az egyéb felhasználót terhelik.</w:t>
      </w:r>
    </w:p>
    <w:p w14:paraId="25A7C927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(3) A költségmegosztókat évenként egyszer kell leolvasni, a mért távhő mennyiségének évenként egyszeri elszámolásához igazodva.</w:t>
      </w:r>
    </w:p>
    <w:p w14:paraId="30DCADB8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(4) Költségmegosztók alkalmazása esetén azon díjfizetőkre, akik a költségosztó készülékek felszerelését megtagadják, vagy a korábban felszerelt készülékeket leszerelik, vagy a készülékek leolvasásának lehetőségét nem biztosítják, vagy bármi módon megakadályozzák költségosztásra alkalmas eredmény rendelkezésre állását, a felhasználó az elszámolási időszakra nézve becsült fogyasztást állapít meg. E rendelkezést fűtési és melegvíz célú szolgáltatás esetén egyaránt alkalmazni kell.</w:t>
      </w:r>
    </w:p>
    <w:p w14:paraId="1D012970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(5) A hőközpontban mért távhőmennyiség hődíját az önkormányzati tulajdonú lakóépületek bérlői, mint díjfizetők között is meg kell osztani, illetve közvetlenül részükre kell számlázni.</w:t>
      </w:r>
    </w:p>
    <w:p w14:paraId="509F6D00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(6) Amennyiben a díj megfizetése épületrészenként (lakásonként) változó arányok szerint történik, és a változó arányokat nem a felhasználó bocsátja a szolgáltató rendelkezésére, a díjmegosztást - a felhasználó megbízása alapján - a szolgáltató az ezzel kapcsolatos költségeinek felszámítása mellett végzi.</w:t>
      </w:r>
    </w:p>
    <w:p w14:paraId="0F258580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(7) Abban az esetben, ha a díjmegosztást a távhőszolgáltató végzi, lakossági felhasználó, vagy az egyéb felhasználó köteles a (2) bekezdés szerinti költségmegosztók adatait a szolgáltató rendelkezésére bocsátani. Ha e kötelezettségének a szerződésben rögzített időpontig nem tesz eleget, szolgáltató az éves elszámolást a felhasználóra végzi el úgy, mint ha a díjfizetés a 9. § (2) bekezdése szerint együttesen, megosztás nélkül történne.</w:t>
      </w:r>
    </w:p>
    <w:p w14:paraId="2D7F3394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11. §</w:t>
      </w:r>
    </w:p>
    <w:p w14:paraId="03EA7176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(1) A távhőszolgáltató a távhőszolgáltatást felfüggesztheti, ha a felhasználó vagy a díjfizető:</w:t>
      </w:r>
    </w:p>
    <w:p w14:paraId="540F744A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a mérőeszközt vagy a mérőeszköz hitelességét tanúsító jelet (fémzár, hitelesítési bélyegzés, matrica) megrongálja, eltávolítja vagy - amennyiben a mérőeszköz olyan helyiségben van elhelyezve, amelybe a felhasználó állandó bejutása, illetve felügyelete biztosított - ezek sérülését, illetve hiányát a távhőszolgáltatónak nem jelenti be;</w:t>
      </w:r>
    </w:p>
    <w:p w14:paraId="6FED0C1A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 xml:space="preserve">a mérőeszköz befolyásolásával vagy megkerülésével </w:t>
      </w:r>
      <w:r w:rsidRPr="003224B9">
        <w:rPr>
          <w:rFonts w:ascii="Constantia" w:hAnsi="Constantia"/>
          <w:i/>
          <w:iCs/>
        </w:rPr>
        <w:t>-</w:t>
      </w:r>
      <w:r w:rsidRPr="003224B9">
        <w:rPr>
          <w:rFonts w:ascii="Constantia" w:hAnsi="Constantia"/>
        </w:rPr>
        <w:t xml:space="preserve"> ideértve a mérőeszköz vagy annak hitelességét tanúsító jel megrongálását és eltávolítását is - távhőt vételez;</w:t>
      </w:r>
    </w:p>
    <w:p w14:paraId="73F63DC0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(2) A távhőszolgáltató a távhőszolgáltatást felfüggesztheti vagy a közüzemi szerződést felmondhatja, ha a felhasználó vagy a díjfizető a távhő folyamatos és biztonságos szolgáltatását, vagy más felhasználó vagy díjfizető szerződésszerű távhő vételezését zavarja vagy veszélyezteti.</w:t>
      </w:r>
    </w:p>
    <w:p w14:paraId="48ABD5C7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(3) A távhőszolgáltató a közüzemi szerződést felmondhatja, ha a felhasználó vagy a díjfizető a távhő vételezését nem a </w:t>
      </w:r>
      <w:proofErr w:type="spellStart"/>
      <w:r w:rsidRPr="003224B9">
        <w:rPr>
          <w:rFonts w:ascii="Constantia" w:hAnsi="Constantia"/>
        </w:rPr>
        <w:t>Tszt</w:t>
      </w:r>
      <w:proofErr w:type="spellEnd"/>
      <w:r w:rsidRPr="003224B9">
        <w:rPr>
          <w:rFonts w:ascii="Constantia" w:hAnsi="Constantia"/>
        </w:rPr>
        <w:t>. 38. § (2), (4), illetve (5) bekezdésében foglalt feltételekkel szünteti meg.</w:t>
      </w:r>
    </w:p>
    <w:p w14:paraId="033503D8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(4) A távhőszolgáltató a közüzemi szerződést felmondhatja, ha a díjfizetés kötelezettje a szolgáltató írásbeli felszólítása ellenére a távhőszolgáltatás díját az esedékesség lejártát követ 60 napon belül nem fizeti meg.</w:t>
      </w:r>
    </w:p>
    <w:p w14:paraId="23E13310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(5) A távhőszolgáltató az (1)-(4) bekezdés szerinti esetekben a felfüggesztés vagy a szerződés felmondása helyett csökkentett mérték szolgáltatást is alkalmazhat, de valamennyit csak oly módon, hogy azok ne érintsék a teljesítő díjfizetőt vagy felhasználót.</w:t>
      </w:r>
    </w:p>
    <w:p w14:paraId="1170AC22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(6) A távhőszolgáltatás felfüggesztésével, valamint a felfüggesztés megszüntetésével felmerült költségeket a távhőszolgáltató jogosult a szerződésszegés elkövetőjére áthárítani. A közüzemi szerződés nélküli távhőfogyasztás esetén - az ebből származó jogkövetkezményekért - az érintett ingatlan ingatlan-nyilvántartás szerinti tulajdonosa felel.</w:t>
      </w:r>
    </w:p>
    <w:p w14:paraId="2A884B20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(7) Eger Megyei Jogú Város Önkormányzatának tulajdonában lévő lakás esetében, ha a díjfizető a távhő díját felszólítás ellenére sem fizeti meg, vele szemben a lakbér nem fizetés következményeit kell alkalmazni.</w:t>
      </w:r>
    </w:p>
    <w:p w14:paraId="49B6DBFF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12. §</w:t>
      </w:r>
    </w:p>
    <w:p w14:paraId="0722A985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(1) A közüzemi szerződés megszegésének következménye lehet:</w:t>
      </w:r>
    </w:p>
    <w:p w14:paraId="57CE0BA9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díjvisszatérítés, pótdíjfizetés,</w:t>
      </w:r>
    </w:p>
    <w:p w14:paraId="16A24304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>kötbér,</w:t>
      </w:r>
    </w:p>
    <w:p w14:paraId="69F1A427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c)</w:t>
      </w:r>
      <w:r w:rsidRPr="003224B9">
        <w:rPr>
          <w:rFonts w:ascii="Constantia" w:hAnsi="Constantia"/>
        </w:rPr>
        <w:tab/>
        <w:t>kártérítés,</w:t>
      </w:r>
    </w:p>
    <w:p w14:paraId="763352BE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d)</w:t>
      </w:r>
      <w:r w:rsidRPr="003224B9">
        <w:rPr>
          <w:rFonts w:ascii="Constantia" w:hAnsi="Constantia"/>
        </w:rPr>
        <w:tab/>
        <w:t>csökkentett mértékű szolgáltatás,</w:t>
      </w:r>
    </w:p>
    <w:p w14:paraId="29FA366A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e)</w:t>
      </w:r>
      <w:r w:rsidRPr="003224B9">
        <w:rPr>
          <w:rFonts w:ascii="Constantia" w:hAnsi="Constantia"/>
        </w:rPr>
        <w:tab/>
        <w:t>távhő szolgáltatás felfüggesztése,</w:t>
      </w:r>
    </w:p>
    <w:p w14:paraId="7F064FDA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f)</w:t>
      </w:r>
      <w:r w:rsidRPr="003224B9">
        <w:rPr>
          <w:rFonts w:ascii="Constantia" w:hAnsi="Constantia"/>
        </w:rPr>
        <w:tab/>
        <w:t>közüzemi szerződés felmondása.</w:t>
      </w:r>
    </w:p>
    <w:p w14:paraId="30326C1C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(2) Az (1) </w:t>
      </w:r>
      <w:r w:rsidRPr="003224B9">
        <w:rPr>
          <w:rFonts w:ascii="Constantia" w:hAnsi="Constantia"/>
        </w:rPr>
        <w:t>bekezdésben említett egyes következmények együttesen is alkalmazhatók.</w:t>
      </w:r>
    </w:p>
    <w:p w14:paraId="196A4936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(3) A távhőszolgáltató köteles a felhasználó vagy a díjfizető (a díjfizetés kötelezettje) részére az alapdíj arányos részét visszatéríteni, ha felróható magatartása folytán a távhő szolgáltatás megszűnik, vagy azt a </w:t>
      </w:r>
      <w:proofErr w:type="spellStart"/>
      <w:r w:rsidRPr="003224B9">
        <w:rPr>
          <w:rFonts w:ascii="Constantia" w:hAnsi="Constantia"/>
        </w:rPr>
        <w:t>Tszt</w:t>
      </w:r>
      <w:proofErr w:type="spellEnd"/>
      <w:r w:rsidRPr="003224B9">
        <w:rPr>
          <w:rFonts w:ascii="Constantia" w:hAnsi="Constantia"/>
        </w:rPr>
        <w:t>. 40-41. §-</w:t>
      </w:r>
      <w:proofErr w:type="spellStart"/>
      <w:r w:rsidRPr="003224B9">
        <w:rPr>
          <w:rFonts w:ascii="Constantia" w:hAnsi="Constantia"/>
        </w:rPr>
        <w:t>ában</w:t>
      </w:r>
      <w:proofErr w:type="spellEnd"/>
      <w:r w:rsidRPr="003224B9">
        <w:rPr>
          <w:rFonts w:ascii="Constantia" w:hAnsi="Constantia"/>
        </w:rPr>
        <w:t xml:space="preserve"> foglaltakon túlmenően szünetelteti, vagy korlátozza.</w:t>
      </w:r>
    </w:p>
    <w:p w14:paraId="1D876AB2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(4) A távhőszolgáltató köteles a felhasználó vagy a díjfizető (a díjfizetés kötelezettje) részére kötbért fizetni, ha:</w:t>
      </w:r>
    </w:p>
    <w:p w14:paraId="6F14EC7A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a távhőszolgáltatást a közüzemi szerződésben meghatározott időpontban nem kezdi meg;</w:t>
      </w:r>
    </w:p>
    <w:p w14:paraId="10C0FEE8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>a távhőt nem a közüzemi szerződésben meghatározott, vagy nem a tőle elvárható módon szolgáltatja;</w:t>
      </w:r>
    </w:p>
    <w:p w14:paraId="56FFC40D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c)</w:t>
      </w:r>
      <w:r w:rsidRPr="003224B9">
        <w:rPr>
          <w:rFonts w:ascii="Constantia" w:hAnsi="Constantia"/>
        </w:rPr>
        <w:tab/>
        <w:t xml:space="preserve">a távhőfelhasználó részére történő szolgáltatását nem hitelesített mérőeszköz </w:t>
      </w:r>
      <w:r w:rsidRPr="003224B9">
        <w:rPr>
          <w:rFonts w:ascii="Constantia" w:hAnsi="Constantia"/>
        </w:rPr>
        <w:t>használatával végzi;</w:t>
      </w:r>
    </w:p>
    <w:p w14:paraId="2D110249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d)</w:t>
      </w:r>
      <w:r w:rsidRPr="003224B9">
        <w:rPr>
          <w:rFonts w:ascii="Constantia" w:hAnsi="Constantia"/>
        </w:rPr>
        <w:tab/>
        <w:t>a távhőszolgáltatás előre tervezhető munkák miatti szüneteltetéséről a felhasználót az üzletszabályzatban vagy a szerződésben előírt módon és időben nem értesíti;</w:t>
      </w:r>
    </w:p>
    <w:p w14:paraId="00918304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e)</w:t>
      </w:r>
      <w:r w:rsidRPr="003224B9">
        <w:rPr>
          <w:rFonts w:ascii="Constantia" w:hAnsi="Constantia"/>
        </w:rPr>
        <w:tab/>
        <w:t>a távhőszolgáltatás felfüggesztése esetén a felfüggesztési ok megszüntetésére vonatkozó írásbeli értesítése kézhezvételét követ munkanapon a felhasználó részére a távhőszolgáltatást nem kezdi meg.</w:t>
      </w:r>
    </w:p>
    <w:p w14:paraId="695BD16B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A kötbér a szerződésszegéssel érintett szolgáltatás díja után jár, és annak mértékét a szolgáltató és felhasználó közötti szerződésben kell meghatározni.</w:t>
      </w:r>
    </w:p>
    <w:p w14:paraId="027DF315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(5) A díjfizetés kötelezettje köteles a távhőszolgáltató részére pótdíjat fizetni szerződés nélküli távhőfogyasztás esetén, továbbá ha</w:t>
      </w:r>
    </w:p>
    <w:p w14:paraId="34E31936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a szerződésben meghatározott hőteljesítményt túllépi, illetve, ha a szerződésben rögzített fűthető légteret meghaladó légtereket kapcsol be a szerződés módosítása nélkül;</w:t>
      </w:r>
    </w:p>
    <w:p w14:paraId="074B0962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>a mérőeszközt vagy a mérőeszköz hitelességét tanúsító jelet (fémzár, hitelesítési bélyegzés, matrica) megrongálja, eltávolítja, vagy – amennyiben a mérőeszköz olyan helyiségben van elhelyezve, amelybe a felhasználó állandó bejutása, illetve felügyelete biztosított – ezek sérülését, illetve hiányát a távhőszolgáltatónak nem jelenti be;</w:t>
      </w:r>
    </w:p>
    <w:p w14:paraId="64B3BA22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c)</w:t>
      </w:r>
      <w:r w:rsidRPr="003224B9">
        <w:rPr>
          <w:rFonts w:ascii="Constantia" w:hAnsi="Constantia"/>
        </w:rPr>
        <w:tab/>
        <w:t xml:space="preserve">a mérőeszköz befolyásolásával vagy megkerülésével </w:t>
      </w:r>
      <w:r w:rsidRPr="003224B9">
        <w:rPr>
          <w:rFonts w:ascii="Constantia" w:hAnsi="Constantia"/>
          <w:i/>
          <w:iCs/>
        </w:rPr>
        <w:t>–</w:t>
      </w:r>
      <w:r w:rsidRPr="003224B9">
        <w:rPr>
          <w:rFonts w:ascii="Constantia" w:hAnsi="Constantia"/>
        </w:rPr>
        <w:t xml:space="preserve"> ideértve a mérőeszköz vagy annak hitelességét tanúsító jel megrongálását és eltávolítását is – távhőt vételez;</w:t>
      </w:r>
    </w:p>
    <w:p w14:paraId="5DF899C5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d)</w:t>
      </w:r>
      <w:r w:rsidRPr="003224B9">
        <w:rPr>
          <w:rFonts w:ascii="Constantia" w:hAnsi="Constantia"/>
        </w:rPr>
        <w:tab/>
        <w:t>a korlátozási rendelkezéseknek nem tesz eleget;</w:t>
      </w:r>
    </w:p>
    <w:p w14:paraId="252FF83B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e)</w:t>
      </w:r>
      <w:r w:rsidRPr="003224B9">
        <w:rPr>
          <w:rFonts w:ascii="Constantia" w:hAnsi="Constantia"/>
        </w:rPr>
        <w:tab/>
        <w:t xml:space="preserve">a távhő vételezését nem a </w:t>
      </w:r>
      <w:proofErr w:type="spellStart"/>
      <w:r w:rsidRPr="003224B9">
        <w:rPr>
          <w:rFonts w:ascii="Constantia" w:hAnsi="Constantia"/>
        </w:rPr>
        <w:t>Tszt</w:t>
      </w:r>
      <w:proofErr w:type="spellEnd"/>
      <w:r w:rsidRPr="003224B9">
        <w:rPr>
          <w:rFonts w:ascii="Constantia" w:hAnsi="Constantia"/>
        </w:rPr>
        <w:t>. 38. § (2), (4), illetve (5) bekezdésében foglalt feltételekkel szünteti meg.</w:t>
      </w:r>
    </w:p>
    <w:p w14:paraId="3C52A4DC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A pótdíj e rendelet 1. mellékletében foglalt alapdíjtétel kétszerese, amit a szerződésszegéssel érintett időszakra, de minimum 1 havi időtartamra kell a rendes alapdíjon, illetve hődíjon túl megfizetni.</w:t>
      </w:r>
    </w:p>
    <w:p w14:paraId="498B52F4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(6) A díjvisszatérítés, a pótdíj és a kötbér megfizetése nem mentesít az okozott kár megtérítése alól.</w:t>
      </w:r>
    </w:p>
    <w:p w14:paraId="00FA3BFA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(7) Ha a felhasználó, vagy a díjfizető a távhőszolgáltatás felfüggesztése okának megszüntetéséről a távhőszolgáltatót írásban értesítette, az értesítés kézhezvételét követő munkanapon a távhőszolgáltatást meg kell kezdeni.</w:t>
      </w:r>
    </w:p>
    <w:p w14:paraId="1ADB976D" w14:textId="77777777" w:rsidR="0063656A" w:rsidRPr="003224B9" w:rsidRDefault="00116215">
      <w:pPr>
        <w:pStyle w:val="Szvegtrzs"/>
        <w:spacing w:before="240" w:after="240" w:line="240" w:lineRule="auto"/>
        <w:jc w:val="center"/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>13. §</w:t>
      </w:r>
    </w:p>
    <w:p w14:paraId="754CED83" w14:textId="77777777" w:rsidR="0063656A" w:rsidRPr="003224B9" w:rsidRDefault="00116215">
      <w:pPr>
        <w:pStyle w:val="Szvegtrzs"/>
        <w:spacing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(1) Távhővel ellátott lakóépületek és vegyes célra használt épületek esetében a fűtési díj megosztási arányok meghatározásához fűtési költségmegosztók akkor alkalmazhatók, ha</w:t>
      </w:r>
    </w:p>
    <w:p w14:paraId="2340B9C8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a)</w:t>
      </w:r>
      <w:r w:rsidRPr="003224B9">
        <w:rPr>
          <w:rFonts w:ascii="Constantia" w:hAnsi="Constantia"/>
        </w:rPr>
        <w:tab/>
        <w:t>a felhasználói hőközpontról ellátott felhasználási hely összes épületrészében - a közös használatú épületrészek kivételével - felszerelt valamennyi hőleadó készülék hőleadása azonos gyártmányú, típusú, illetve egységes értékelési rendszerű fűtési költségmegosztóval kerül meghatározásra, vagy a felhasználási hely összes épületrészében - a közös használatú épületrészek kivételével - a fűtési hőfelhasználás költségmegosztó funkciót ellátó hőfogyasztás-mérővel önállóan mérhető,</w:t>
      </w:r>
    </w:p>
    <w:p w14:paraId="05240135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b)</w:t>
      </w:r>
      <w:r w:rsidRPr="003224B9">
        <w:rPr>
          <w:rFonts w:ascii="Constantia" w:hAnsi="Constantia"/>
        </w:rPr>
        <w:tab/>
        <w:t>a szolgáltatói hőközpontról ellátott felhasználási helyek esetében az egyes felhasználási helyek vonatkozásában felszerelt fűtési költségmegosztó vagy a fűtési hőfelhasználás költségmegosztó funkciót ellátó hőfogyasztás-mérő eltérő gyártmányú, típusú, illetve eltérő értékelési rendszerű lehet, amennyiben az egyes felhasználási helyek hőfogadó állomásain elhelyezett egyéb mérőműszerrel biztosított a fűtési célú hőenergia külön-külön történő meghatározása,</w:t>
      </w:r>
    </w:p>
    <w:p w14:paraId="514EEFAC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c)</w:t>
      </w:r>
      <w:r w:rsidRPr="003224B9">
        <w:rPr>
          <w:rFonts w:ascii="Constantia" w:hAnsi="Constantia"/>
        </w:rPr>
        <w:tab/>
        <w:t>a fűtési költségmegosztó vagy a költségmegosztó funkciót ellátó fűtési hőfogyasztás-mérő felszerelését végző gazdálkodó szervezet a mérési pontosságot gyártói megfelelőségi tanúsítvánnyal igazolja,</w:t>
      </w:r>
    </w:p>
    <w:p w14:paraId="5C4D73C6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d)</w:t>
      </w:r>
      <w:r w:rsidRPr="003224B9">
        <w:rPr>
          <w:rFonts w:ascii="Constantia" w:hAnsi="Constantia"/>
        </w:rPr>
        <w:tab/>
        <w:t>a fűtési költségmegosztó vagy a költségmegosztó funkciót ellátó hőfogyasztás-mérő felszerelése a vonatkozó jogszabályi és műszaki előírásoknak megfelelően történt,</w:t>
      </w:r>
    </w:p>
    <w:p w14:paraId="225F480D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e)</w:t>
      </w:r>
      <w:r w:rsidRPr="003224B9">
        <w:rPr>
          <w:rFonts w:ascii="Constantia" w:hAnsi="Constantia"/>
        </w:rPr>
        <w:tab/>
        <w:t>a fűtési költségmegosztókat a felszerelésüket követően beavatkozás, leszerelés megakadályozása céljából plombával látták el,</w:t>
      </w:r>
    </w:p>
    <w:p w14:paraId="3C5BDB63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f)</w:t>
      </w:r>
      <w:r w:rsidRPr="003224B9">
        <w:rPr>
          <w:rFonts w:ascii="Constantia" w:hAnsi="Constantia"/>
        </w:rPr>
        <w:tab/>
        <w:t>a fűtési költségmegosztók leolvasása, működőképességük és a plomba sértetlenségének ellenőrzése az elszámolási időszak végén a tulajdonosi közösség által meghatározott időpontig megtörténik,</w:t>
      </w:r>
    </w:p>
    <w:p w14:paraId="2AFC3570" w14:textId="77777777" w:rsidR="0063656A" w:rsidRPr="003224B9" w:rsidRDefault="00116215">
      <w:pPr>
        <w:pStyle w:val="Szvegtrzs"/>
        <w:spacing w:after="0" w:line="240" w:lineRule="auto"/>
        <w:ind w:left="580" w:hanging="560"/>
        <w:jc w:val="both"/>
        <w:rPr>
          <w:rFonts w:ascii="Constantia" w:hAnsi="Constantia"/>
        </w:rPr>
      </w:pPr>
      <w:r w:rsidRPr="003224B9">
        <w:rPr>
          <w:rFonts w:ascii="Constantia" w:hAnsi="Constantia"/>
          <w:i/>
          <w:iCs/>
        </w:rPr>
        <w:t>g)</w:t>
      </w:r>
      <w:r w:rsidRPr="003224B9">
        <w:rPr>
          <w:rFonts w:ascii="Constantia" w:hAnsi="Constantia"/>
        </w:rPr>
        <w:tab/>
        <w:t>a tulajdonosi közösség csak elektronikus elven működő, rádiós kiolvasású fűtési költségmegosztót szereltethet fel.</w:t>
      </w:r>
    </w:p>
    <w:p w14:paraId="289AE6AD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(2) Azon épületek tulajdonosi közösségeinek képviselői, ahol 2024. szeptember 15-ig nem valósult meg az egyes épületrészekben - a közös használatú épületrészek kivételével – a hiteles fűtési hőfogyasztás-mérő vagy a fűtési költségmegosztó felszerelése, kötelesek legkésőbb 2025. szeptember 30-ig nyilatkozni a távhőszolgáltató felé a távhőszolgáltatásról szóló 2005. évi XVIII. törvény végrehajtásáról szóló 157/2005. (VIII.15.) Korm. rendelet 17/C. § (1c)-(1d) bekezdésben foglalt rendelkezések megfelelő alkalm</w:t>
      </w:r>
      <w:r w:rsidRPr="003224B9">
        <w:rPr>
          <w:rFonts w:ascii="Constantia" w:hAnsi="Constantia"/>
        </w:rPr>
        <w:t>azásáról.</w:t>
      </w:r>
    </w:p>
    <w:p w14:paraId="59903E48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(3) Azon épületek tulajdonosi közösségeinek képviselői, akik 2024. szeptember 15-e előtt az egyes épületrészekben - a közös használatú épületrészek kivételével –hiteles fűtési hőfogyasztás-mérőt vagy fűtési költségmegosztót szereltek fel, de a felhasználási helyen a fűtési célra felhasznált hőmennyiség és díjának megosztása a továbbiakban is az egyes épületrészek fűtött légtérfogata alapján történik, kötelesek 2026. július 1-jétől a korábban felszerelt eszközök alkalmazásával a díjfizetői fűtési díjmegosztá</w:t>
      </w:r>
      <w:r w:rsidRPr="003224B9">
        <w:rPr>
          <w:rFonts w:ascii="Constantia" w:hAnsi="Constantia"/>
        </w:rPr>
        <w:t>si arányokat meghatározni.</w:t>
      </w:r>
    </w:p>
    <w:p w14:paraId="0DB23C48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 xml:space="preserve">(4) A távhőszolgáltatónak a </w:t>
      </w:r>
      <w:proofErr w:type="spellStart"/>
      <w:r w:rsidRPr="003224B9">
        <w:rPr>
          <w:rFonts w:ascii="Constantia" w:hAnsi="Constantia"/>
        </w:rPr>
        <w:t>Tszt</w:t>
      </w:r>
      <w:proofErr w:type="spellEnd"/>
      <w:r w:rsidRPr="003224B9">
        <w:rPr>
          <w:rFonts w:ascii="Constantia" w:hAnsi="Constantia"/>
        </w:rPr>
        <w:t xml:space="preserve">. 43. § (5b) bekezdésében foglaltak szerint a költségmegosztókra vonatkozó kötelezettséget nem teljesítő felhasználási hely tulajdonosi közösségei esetében mindaddig, amíg a </w:t>
      </w:r>
      <w:proofErr w:type="spellStart"/>
      <w:r w:rsidRPr="003224B9">
        <w:rPr>
          <w:rFonts w:ascii="Constantia" w:hAnsi="Constantia"/>
        </w:rPr>
        <w:t>Tszt</w:t>
      </w:r>
      <w:proofErr w:type="spellEnd"/>
      <w:r w:rsidRPr="003224B9">
        <w:rPr>
          <w:rFonts w:ascii="Constantia" w:hAnsi="Constantia"/>
        </w:rPr>
        <w:t>. hivatkozott rendelkezésében foglaltak nem teljesülnek az érintett felhasználási hely esetében 2027. július 1-jétől az épületrészekre kiszámlázandó fűtési hőmennyiséget a felhasználási hely fajlagos fűtési hőfelhasználása 2,5-szeresének és az épületrészek fűthető légtérfogatának a szorzataként kell meghatározni.</w:t>
      </w:r>
    </w:p>
    <w:p w14:paraId="09BF4DC2" w14:textId="77777777" w:rsidR="0063656A" w:rsidRPr="003224B9" w:rsidRDefault="00116215">
      <w:pPr>
        <w:pStyle w:val="Szvegtrzs"/>
        <w:spacing w:before="240" w:after="0" w:line="240" w:lineRule="auto"/>
        <w:jc w:val="both"/>
        <w:rPr>
          <w:rFonts w:ascii="Constantia" w:hAnsi="Constantia"/>
        </w:rPr>
      </w:pPr>
      <w:r w:rsidRPr="003224B9">
        <w:rPr>
          <w:rFonts w:ascii="Constantia" w:hAnsi="Constantia"/>
        </w:rPr>
        <w:t>(5) A távhőszolgáltatásról szóló 2005. évi XVIII. törvény végrehajtásáról szóló 157/2005. (VIII.15.) Korm. rendelet 8. melléklete szerinti táblázat hatodik sorában szereplő megtakarítási arány (E) értéke a távhővel ellátott lakóépületek és vegyes célra használt épületek vonatkozásában 0,35.</w:t>
      </w:r>
    </w:p>
    <w:p w14:paraId="7AE914B6" w14:textId="79BE3CA9" w:rsidR="006A2663" w:rsidRPr="003224B9" w:rsidRDefault="006A2663" w:rsidP="006A2663">
      <w:pPr>
        <w:pStyle w:val="Szvegtrzs"/>
        <w:spacing w:before="240" w:after="240" w:line="240" w:lineRule="auto"/>
        <w:jc w:val="center"/>
        <w:rPr>
          <w:rFonts w:ascii="Constantia" w:eastAsia="Times New Roman" w:hAnsi="Constantia" w:cs="Segoe UI"/>
          <w:color w:val="212529"/>
        </w:rPr>
      </w:pPr>
      <w:r w:rsidRPr="003224B9">
        <w:rPr>
          <w:rFonts w:ascii="Constantia" w:hAnsi="Constantia"/>
          <w:b/>
          <w:bCs/>
        </w:rPr>
        <w:t>14. §</w:t>
      </w:r>
    </w:p>
    <w:p w14:paraId="216271F8" w14:textId="6E16C74F" w:rsidR="006A2663" w:rsidRPr="003224B9" w:rsidRDefault="006A2663" w:rsidP="006A2663">
      <w:pPr>
        <w:spacing w:before="120"/>
        <w:jc w:val="both"/>
        <w:rPr>
          <w:rFonts w:ascii="Constantia" w:eastAsia="Times New Roman" w:hAnsi="Constantia" w:cs="Segoe UI"/>
          <w:color w:val="212529"/>
        </w:rPr>
      </w:pPr>
      <w:r w:rsidRPr="003224B9">
        <w:rPr>
          <w:rFonts w:ascii="Constantia" w:eastAsia="Times New Roman" w:hAnsi="Constantia" w:cs="Segoe UI"/>
          <w:color w:val="212529"/>
        </w:rPr>
        <w:t>(1) Hatályát veszti Eger Megyei Jogú Város Önkormányzata Közgyűlésének a távhőszolgáltatás legmagasabb díjáról és a díjalkalmazás feltételeiről szóló 43/2005. (XII.16.) önkormányzati rendelete.</w:t>
      </w:r>
    </w:p>
    <w:p w14:paraId="58BAFECD" w14:textId="77777777" w:rsidR="006A2663" w:rsidRPr="003224B9" w:rsidRDefault="006A2663" w:rsidP="006A2663">
      <w:pPr>
        <w:spacing w:before="120"/>
        <w:jc w:val="both"/>
        <w:rPr>
          <w:rFonts w:ascii="Constantia" w:eastAsia="Times New Roman" w:hAnsi="Constantia" w:cs="Segoe UI"/>
          <w:color w:val="212529"/>
        </w:rPr>
      </w:pPr>
      <w:r w:rsidRPr="003224B9">
        <w:rPr>
          <w:rFonts w:ascii="Constantia" w:eastAsia="Times New Roman" w:hAnsi="Constantia" w:cs="Segoe UI"/>
          <w:color w:val="212529"/>
        </w:rPr>
        <w:t>(2) Ez a rendelet 2025. január 1. napján lép hatályba.</w:t>
      </w:r>
    </w:p>
    <w:p w14:paraId="18CDD1CC" w14:textId="77777777" w:rsidR="006A2663" w:rsidRPr="003224B9" w:rsidRDefault="006A2663" w:rsidP="006A2663">
      <w:pPr>
        <w:rPr>
          <w:rFonts w:ascii="Constantia" w:hAnsi="Constantia"/>
        </w:rPr>
      </w:pPr>
    </w:p>
    <w:p w14:paraId="2AF631FD" w14:textId="77777777" w:rsidR="006A2663" w:rsidRPr="003224B9" w:rsidRDefault="006A2663" w:rsidP="006A2663">
      <w:pPr>
        <w:rPr>
          <w:rFonts w:ascii="Constantia" w:hAnsi="Constantia"/>
        </w:rPr>
      </w:pPr>
    </w:p>
    <w:p w14:paraId="41E87733" w14:textId="77777777" w:rsidR="006A2663" w:rsidRPr="003224B9" w:rsidRDefault="006A2663" w:rsidP="006A2663">
      <w:pPr>
        <w:rPr>
          <w:rFonts w:ascii="Constantia" w:hAnsi="Constantia"/>
        </w:rPr>
      </w:pPr>
    </w:p>
    <w:p w14:paraId="0E31B386" w14:textId="77777777" w:rsidR="006A2663" w:rsidRPr="003224B9" w:rsidRDefault="006A2663" w:rsidP="006A2663">
      <w:pPr>
        <w:rPr>
          <w:rFonts w:ascii="Constantia" w:hAnsi="Constantia"/>
          <w:b/>
          <w:bCs/>
        </w:rPr>
      </w:pPr>
    </w:p>
    <w:p w14:paraId="23C0E6E9" w14:textId="77777777" w:rsidR="006A2663" w:rsidRPr="003224B9" w:rsidRDefault="006A2663" w:rsidP="006A2663">
      <w:pPr>
        <w:tabs>
          <w:tab w:val="left" w:pos="2460"/>
        </w:tabs>
        <w:rPr>
          <w:rFonts w:ascii="Constantia" w:hAnsi="Constantia"/>
          <w:b/>
          <w:bCs/>
        </w:rPr>
      </w:pPr>
      <w:r w:rsidRPr="003224B9">
        <w:rPr>
          <w:rFonts w:ascii="Constantia" w:hAnsi="Constantia"/>
          <w:b/>
          <w:bCs/>
        </w:rPr>
        <w:tab/>
        <w:t>Vágner Ákos</w:t>
      </w:r>
      <w:r w:rsidRPr="003224B9">
        <w:rPr>
          <w:rFonts w:ascii="Constantia" w:hAnsi="Constantia"/>
          <w:b/>
          <w:bCs/>
        </w:rPr>
        <w:tab/>
      </w:r>
      <w:r w:rsidRPr="003224B9">
        <w:rPr>
          <w:rFonts w:ascii="Constantia" w:hAnsi="Constantia"/>
          <w:b/>
          <w:bCs/>
        </w:rPr>
        <w:tab/>
      </w:r>
      <w:r w:rsidRPr="003224B9">
        <w:rPr>
          <w:rFonts w:ascii="Constantia" w:hAnsi="Constantia"/>
          <w:b/>
          <w:bCs/>
        </w:rPr>
        <w:tab/>
      </w:r>
      <w:r w:rsidRPr="003224B9">
        <w:rPr>
          <w:rFonts w:ascii="Constantia" w:hAnsi="Constantia"/>
          <w:b/>
          <w:bCs/>
        </w:rPr>
        <w:tab/>
        <w:t>Dr. Barta Viktor</w:t>
      </w:r>
    </w:p>
    <w:p w14:paraId="3A673A35" w14:textId="77777777" w:rsidR="006A2663" w:rsidRPr="003224B9" w:rsidRDefault="006A2663" w:rsidP="006A2663">
      <w:pPr>
        <w:tabs>
          <w:tab w:val="left" w:pos="2460"/>
        </w:tabs>
        <w:rPr>
          <w:rFonts w:ascii="Constantia" w:hAnsi="Constantia"/>
        </w:rPr>
      </w:pPr>
      <w:r w:rsidRPr="003224B9">
        <w:rPr>
          <w:rFonts w:ascii="Constantia" w:hAnsi="Constantia"/>
        </w:rPr>
        <w:tab/>
        <w:t>polgármester</w:t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</w:rPr>
        <w:tab/>
      </w:r>
      <w:r w:rsidRPr="003224B9">
        <w:rPr>
          <w:rFonts w:ascii="Constantia" w:hAnsi="Constantia"/>
        </w:rPr>
        <w:tab/>
        <w:t xml:space="preserve">       jegyző</w:t>
      </w:r>
    </w:p>
    <w:p w14:paraId="0160B70F" w14:textId="744BF77D" w:rsidR="0063656A" w:rsidRPr="003224B9" w:rsidRDefault="0063656A" w:rsidP="006A2663">
      <w:pPr>
        <w:pStyle w:val="Szvegtrzs"/>
        <w:spacing w:after="0" w:line="240" w:lineRule="auto"/>
        <w:jc w:val="both"/>
        <w:rPr>
          <w:rFonts w:ascii="Constantia" w:hAnsi="Constantia"/>
        </w:rPr>
      </w:pPr>
    </w:p>
    <w:sectPr w:rsidR="0063656A" w:rsidRPr="003224B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074773" w14:textId="77777777" w:rsidR="00116215" w:rsidRDefault="00116215">
      <w:r>
        <w:separator/>
      </w:r>
    </w:p>
  </w:endnote>
  <w:endnote w:type="continuationSeparator" w:id="0">
    <w:p w14:paraId="2018E430" w14:textId="77777777" w:rsidR="00116215" w:rsidRDefault="00116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C98AF" w14:textId="77777777" w:rsidR="0063656A" w:rsidRDefault="0011621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8C2A3" w14:textId="77777777" w:rsidR="00116215" w:rsidRDefault="00116215">
      <w:r>
        <w:separator/>
      </w:r>
    </w:p>
  </w:footnote>
  <w:footnote w:type="continuationSeparator" w:id="0">
    <w:p w14:paraId="6392C283" w14:textId="77777777" w:rsidR="00116215" w:rsidRDefault="00116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A51F5B"/>
    <w:multiLevelType w:val="multilevel"/>
    <w:tmpl w:val="522E3CE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92684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656A"/>
    <w:rsid w:val="00116215"/>
    <w:rsid w:val="003224B9"/>
    <w:rsid w:val="0063656A"/>
    <w:rsid w:val="006A2663"/>
    <w:rsid w:val="00ED5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883C4"/>
  <w15:docId w15:val="{0A44C100-658D-4A8A-B79A-7FA25E2F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2714</Words>
  <Characters>18728</Characters>
  <Application>Microsoft Office Word</Application>
  <DocSecurity>0</DocSecurity>
  <Lines>156</Lines>
  <Paragraphs>42</Paragraphs>
  <ScaleCrop>false</ScaleCrop>
  <Company/>
  <LinksUpToDate>false</LinksUpToDate>
  <CharactersWithSpaces>21400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Dr. Szalóczi Ilona</cp:lastModifiedBy>
  <cp:revision>4</cp:revision>
  <dcterms:created xsi:type="dcterms:W3CDTF">2017-08-15T13:24:00Z</dcterms:created>
  <dcterms:modified xsi:type="dcterms:W3CDTF">2024-12-06T08:45:00Z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