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B8" w:rsidRPr="003D684C" w:rsidRDefault="00AA3CB8" w:rsidP="00510540">
      <w:pPr>
        <w:jc w:val="center"/>
        <w:rPr>
          <w:b/>
          <w:bCs/>
          <w:szCs w:val="24"/>
        </w:rPr>
      </w:pPr>
      <w:r w:rsidRPr="003D684C">
        <w:rPr>
          <w:b/>
          <w:bCs/>
          <w:szCs w:val="24"/>
        </w:rPr>
        <w:t>Eger Megyei Jogú Város Önkormányzata Közgyűlésének</w:t>
      </w:r>
      <w:r w:rsidR="00EB50EE" w:rsidRPr="003D684C">
        <w:rPr>
          <w:b/>
          <w:bCs/>
          <w:szCs w:val="24"/>
        </w:rPr>
        <w:t xml:space="preserve"> </w:t>
      </w:r>
      <w:r w:rsidRPr="003D684C">
        <w:rPr>
          <w:b/>
          <w:bCs/>
          <w:szCs w:val="24"/>
        </w:rPr>
        <w:t>rendelettervezete</w:t>
      </w:r>
    </w:p>
    <w:p w:rsidR="003D684C" w:rsidRPr="003D684C" w:rsidRDefault="00AA3CB8" w:rsidP="00510540">
      <w:pPr>
        <w:jc w:val="center"/>
        <w:rPr>
          <w:b/>
          <w:bCs/>
          <w:szCs w:val="24"/>
        </w:rPr>
      </w:pPr>
      <w:r w:rsidRPr="003D684C">
        <w:rPr>
          <w:b/>
          <w:bCs/>
          <w:szCs w:val="24"/>
        </w:rPr>
        <w:t>Eger Helyi Építési Szabályzatáról szóló 4/2016.(</w:t>
      </w:r>
      <w:proofErr w:type="spellStart"/>
      <w:r w:rsidRPr="003D684C">
        <w:rPr>
          <w:b/>
          <w:bCs/>
          <w:szCs w:val="24"/>
        </w:rPr>
        <w:t>II.26</w:t>
      </w:r>
      <w:proofErr w:type="spellEnd"/>
      <w:r w:rsidRPr="003D684C">
        <w:rPr>
          <w:b/>
          <w:bCs/>
          <w:szCs w:val="24"/>
        </w:rPr>
        <w:t>.) önkormányzati rendelet</w:t>
      </w:r>
      <w:r w:rsidR="00EB50EE" w:rsidRPr="003D684C">
        <w:rPr>
          <w:b/>
          <w:bCs/>
          <w:szCs w:val="24"/>
        </w:rPr>
        <w:t>e</w:t>
      </w:r>
    </w:p>
    <w:p w:rsidR="00AA3CB8" w:rsidRDefault="00EB50EE" w:rsidP="00510540">
      <w:pPr>
        <w:jc w:val="center"/>
        <w:rPr>
          <w:b/>
          <w:bCs/>
          <w:szCs w:val="24"/>
        </w:rPr>
      </w:pPr>
      <w:proofErr w:type="gramStart"/>
      <w:r w:rsidRPr="003D684C">
        <w:rPr>
          <w:rFonts w:cs="Arial"/>
          <w:b/>
          <w:color w:val="222222"/>
          <w:szCs w:val="24"/>
          <w:shd w:val="clear" w:color="auto" w:fill="FFFFFF"/>
        </w:rPr>
        <w:t>és</w:t>
      </w:r>
      <w:proofErr w:type="gramEnd"/>
      <w:r w:rsidRPr="003D684C">
        <w:rPr>
          <w:rFonts w:cs="Arial"/>
          <w:b/>
          <w:color w:val="222222"/>
          <w:szCs w:val="24"/>
          <w:shd w:val="clear" w:color="auto" w:fill="FFFFFF"/>
        </w:rPr>
        <w:t xml:space="preserve"> annak mellékletét képező Déli Iparterület szabályozási tervének </w:t>
      </w:r>
      <w:r w:rsidR="00AA3CB8" w:rsidRPr="003D684C">
        <w:rPr>
          <w:b/>
          <w:bCs/>
          <w:szCs w:val="24"/>
        </w:rPr>
        <w:t>módosításáról</w:t>
      </w:r>
    </w:p>
    <w:p w:rsidR="003D684C" w:rsidRPr="003D684C" w:rsidRDefault="003D684C" w:rsidP="00510540">
      <w:pPr>
        <w:jc w:val="center"/>
        <w:rPr>
          <w:b/>
          <w:bCs/>
          <w:szCs w:val="24"/>
        </w:rPr>
      </w:pPr>
    </w:p>
    <w:p w:rsidR="004E074E" w:rsidRDefault="00CB4CD3" w:rsidP="003D684C">
      <w:pPr>
        <w:jc w:val="center"/>
        <w:rPr>
          <w:b/>
          <w:bCs/>
          <w:szCs w:val="24"/>
        </w:rPr>
      </w:pPr>
      <w:r w:rsidRPr="003D684C">
        <w:rPr>
          <w:b/>
          <w:szCs w:val="24"/>
        </w:rPr>
        <w:t xml:space="preserve">– </w:t>
      </w:r>
      <w:r w:rsidR="004E074E" w:rsidRPr="004E074E">
        <w:rPr>
          <w:b/>
          <w:bCs/>
          <w:szCs w:val="24"/>
        </w:rPr>
        <w:t>a Gyetvai József utca 10503/22 helyrajz</w:t>
      </w:r>
      <w:r w:rsidR="004E074E">
        <w:rPr>
          <w:b/>
          <w:bCs/>
          <w:szCs w:val="24"/>
        </w:rPr>
        <w:t>i számú ingatlanra és tömbjére,</w:t>
      </w:r>
    </w:p>
    <w:p w:rsidR="004E074E" w:rsidRDefault="004E074E" w:rsidP="003D684C">
      <w:pPr>
        <w:jc w:val="center"/>
        <w:rPr>
          <w:b/>
          <w:bCs/>
          <w:szCs w:val="24"/>
        </w:rPr>
      </w:pPr>
      <w:proofErr w:type="gramStart"/>
      <w:r w:rsidRPr="004E074E">
        <w:rPr>
          <w:b/>
          <w:bCs/>
          <w:szCs w:val="24"/>
        </w:rPr>
        <w:t>a</w:t>
      </w:r>
      <w:proofErr w:type="gramEnd"/>
      <w:r w:rsidRPr="004E074E">
        <w:rPr>
          <w:b/>
          <w:bCs/>
          <w:szCs w:val="24"/>
        </w:rPr>
        <w:t xml:space="preserve"> Kőlyuk út 9494/24 helyrajzi számú i</w:t>
      </w:r>
      <w:r>
        <w:rPr>
          <w:b/>
          <w:bCs/>
          <w:szCs w:val="24"/>
        </w:rPr>
        <w:t>ngatlanra és tömbjére vonatkozó</w:t>
      </w:r>
    </w:p>
    <w:p w:rsidR="00CB4CD3" w:rsidRPr="003D684C" w:rsidRDefault="004E074E" w:rsidP="003D684C">
      <w:pPr>
        <w:jc w:val="center"/>
        <w:rPr>
          <w:b/>
          <w:szCs w:val="24"/>
        </w:rPr>
      </w:pPr>
      <w:bookmarkStart w:id="0" w:name="_GoBack"/>
      <w:bookmarkEnd w:id="0"/>
      <w:r w:rsidRPr="004E074E">
        <w:rPr>
          <w:b/>
          <w:bCs/>
          <w:szCs w:val="24"/>
        </w:rPr>
        <w:t xml:space="preserve">egyedi kérelmek kapcsán </w:t>
      </w:r>
      <w:r w:rsidR="00CB4CD3" w:rsidRPr="003D684C">
        <w:rPr>
          <w:b/>
          <w:szCs w:val="24"/>
        </w:rPr>
        <w:t>–</w:t>
      </w:r>
    </w:p>
    <w:p w:rsidR="00AA3CB8" w:rsidRPr="003D684C" w:rsidRDefault="00AA3CB8" w:rsidP="00510540">
      <w:pPr>
        <w:jc w:val="center"/>
        <w:rPr>
          <w:b/>
          <w:bCs/>
          <w:szCs w:val="24"/>
        </w:rPr>
      </w:pPr>
    </w:p>
    <w:p w:rsidR="00AA42E5" w:rsidRPr="003D684C" w:rsidRDefault="00AA42E5" w:rsidP="00510540">
      <w:pPr>
        <w:autoSpaceDE w:val="0"/>
        <w:autoSpaceDN w:val="0"/>
        <w:adjustRightInd w:val="0"/>
        <w:rPr>
          <w:rFonts w:cs="Constantia"/>
          <w:szCs w:val="24"/>
          <w:lang w:eastAsia="en-US"/>
        </w:rPr>
      </w:pPr>
      <w:r w:rsidRPr="003D684C">
        <w:rPr>
          <w:rFonts w:cs="Constantia"/>
          <w:szCs w:val="24"/>
          <w:lang w:eastAsia="en-US"/>
        </w:rPr>
        <w:t xml:space="preserve">Eger Megyei Jogú Város Közgyűlése az épített környezet alakításáról és védelméről szóló 1997. évi LXXVIII. törvény 62. § (6) bekezdés 6. pontjában kapott felhatalmazás alapján </w:t>
      </w:r>
      <w:r w:rsidRPr="003D684C">
        <w:rPr>
          <w:szCs w:val="24"/>
        </w:rPr>
        <w:t xml:space="preserve">Magyarország helyi önkormányzatairól szóló 2011. évi CLXXXIX. tv. 13.§ (1) bekezdés 1. pontjában meghatározott </w:t>
      </w:r>
      <w:r w:rsidR="0094203D" w:rsidRPr="003D684C">
        <w:rPr>
          <w:szCs w:val="24"/>
        </w:rPr>
        <w:t>feladatkörében eljárva</w:t>
      </w:r>
      <w:r w:rsidRPr="003D684C">
        <w:rPr>
          <w:szCs w:val="24"/>
        </w:rPr>
        <w:t xml:space="preserve">, </w:t>
      </w:r>
      <w:r w:rsidRPr="003D684C">
        <w:rPr>
          <w:rFonts w:cs="Constantia"/>
          <w:szCs w:val="24"/>
          <w:lang w:eastAsia="en-US"/>
        </w:rPr>
        <w:t xml:space="preserve">a településfejlesztési </w:t>
      </w:r>
      <w:proofErr w:type="gramStart"/>
      <w:r w:rsidRPr="003D684C">
        <w:rPr>
          <w:rFonts w:cs="Constantia"/>
          <w:szCs w:val="24"/>
          <w:lang w:eastAsia="en-US"/>
        </w:rPr>
        <w:t>koncepcióról</w:t>
      </w:r>
      <w:proofErr w:type="gramEnd"/>
      <w:r w:rsidRPr="003D684C">
        <w:rPr>
          <w:rFonts w:cs="Constantia"/>
          <w:szCs w:val="24"/>
          <w:lang w:eastAsia="en-US"/>
        </w:rPr>
        <w:t>, az integrált településfejlesztési stratégiáról és a településrendezési eszközökről, valamint egyes településrendezési sajátos jogintézményekről szóló 314/2012.(</w:t>
      </w:r>
      <w:proofErr w:type="spellStart"/>
      <w:r w:rsidRPr="003D684C">
        <w:rPr>
          <w:rFonts w:cs="Constantia"/>
          <w:szCs w:val="24"/>
          <w:lang w:eastAsia="en-US"/>
        </w:rPr>
        <w:t>XI.8</w:t>
      </w:r>
      <w:proofErr w:type="spellEnd"/>
      <w:r w:rsidRPr="003D684C">
        <w:rPr>
          <w:rFonts w:cs="Constantia"/>
          <w:szCs w:val="24"/>
          <w:lang w:eastAsia="en-US"/>
        </w:rPr>
        <w:t xml:space="preserve">.) Kormányrendelet </w:t>
      </w:r>
      <w:r w:rsidR="00674BAB" w:rsidRPr="003D684C">
        <w:rPr>
          <w:rFonts w:cs="Constantia"/>
          <w:szCs w:val="24"/>
          <w:lang w:eastAsia="en-US"/>
        </w:rPr>
        <w:t>38. szakaszában biztosított vélem</w:t>
      </w:r>
      <w:r w:rsidR="00CB4CD3" w:rsidRPr="003D684C">
        <w:rPr>
          <w:rFonts w:cs="Constantia"/>
          <w:szCs w:val="24"/>
          <w:lang w:eastAsia="en-US"/>
        </w:rPr>
        <w:t>ényezési jogkörében eljáró és a</w:t>
      </w:r>
      <w:r w:rsidR="00CB4CD3" w:rsidRPr="003D684C">
        <w:rPr>
          <w:rFonts w:cs="Constantia"/>
          <w:szCs w:val="24"/>
          <w:lang w:eastAsia="en-US"/>
        </w:rPr>
        <w:br/>
      </w:r>
      <w:r w:rsidR="00674BAB" w:rsidRPr="003D684C">
        <w:rPr>
          <w:rFonts w:cs="Constantia"/>
          <w:szCs w:val="24"/>
          <w:lang w:eastAsia="en-US"/>
        </w:rPr>
        <w:t xml:space="preserve">9. mellékletében meghatározott államigazgatási szervek, </w:t>
      </w:r>
      <w:r w:rsidR="00895B19" w:rsidRPr="003D684C">
        <w:rPr>
          <w:rFonts w:cs="Constantia"/>
          <w:szCs w:val="24"/>
          <w:lang w:eastAsia="en-US"/>
        </w:rPr>
        <w:t>valamint</w:t>
      </w:r>
      <w:r w:rsidRPr="003D684C">
        <w:rPr>
          <w:rFonts w:cs="Constantia"/>
          <w:szCs w:val="24"/>
          <w:lang w:eastAsia="en-US"/>
        </w:rPr>
        <w:t xml:space="preserve"> Eger város településfejlesztési, településrendezési és településképi </w:t>
      </w:r>
      <w:proofErr w:type="gramStart"/>
      <w:r w:rsidRPr="003D684C">
        <w:rPr>
          <w:rFonts w:cs="Constantia"/>
          <w:szCs w:val="24"/>
          <w:lang w:eastAsia="en-US"/>
        </w:rPr>
        <w:t>dokumentumaival</w:t>
      </w:r>
      <w:proofErr w:type="gramEnd"/>
      <w:r w:rsidRPr="003D684C">
        <w:rPr>
          <w:rFonts w:cs="Constantia"/>
          <w:szCs w:val="24"/>
          <w:lang w:eastAsia="en-US"/>
        </w:rPr>
        <w:t xml:space="preserve"> összefüggő partnerségi egyeztetés szabályairól szóló 26/2017.(</w:t>
      </w:r>
      <w:proofErr w:type="spellStart"/>
      <w:r w:rsidRPr="003D684C">
        <w:rPr>
          <w:rFonts w:cs="Constantia"/>
          <w:szCs w:val="24"/>
          <w:lang w:eastAsia="en-US"/>
        </w:rPr>
        <w:t>IX.28</w:t>
      </w:r>
      <w:proofErr w:type="spellEnd"/>
      <w:r w:rsidRPr="003D684C">
        <w:rPr>
          <w:rFonts w:cs="Constantia"/>
          <w:szCs w:val="24"/>
          <w:lang w:eastAsia="en-US"/>
        </w:rPr>
        <w:t>.) önkormányzati rendeletben megjelöltek véleményének kikérésével a következőket rendeli el:</w:t>
      </w:r>
    </w:p>
    <w:p w:rsidR="00F70399" w:rsidRPr="003D684C" w:rsidRDefault="00F70399" w:rsidP="00510540">
      <w:pPr>
        <w:rPr>
          <w:bCs/>
          <w:szCs w:val="24"/>
        </w:rPr>
      </w:pPr>
    </w:p>
    <w:p w:rsidR="0030157C" w:rsidRPr="003D684C" w:rsidRDefault="0030157C" w:rsidP="00F70399">
      <w:pPr>
        <w:numPr>
          <w:ilvl w:val="0"/>
          <w:numId w:val="1"/>
        </w:numPr>
        <w:spacing w:after="120"/>
        <w:ind w:hanging="170"/>
        <w:jc w:val="center"/>
        <w:rPr>
          <w:b/>
          <w:szCs w:val="24"/>
        </w:rPr>
      </w:pPr>
      <w:r w:rsidRPr="003D684C">
        <w:rPr>
          <w:b/>
          <w:szCs w:val="24"/>
        </w:rPr>
        <w:t>§</w:t>
      </w:r>
    </w:p>
    <w:p w:rsidR="005573A8" w:rsidRPr="003D684C" w:rsidRDefault="005573A8" w:rsidP="00976710">
      <w:pPr>
        <w:tabs>
          <w:tab w:val="left" w:pos="0"/>
        </w:tabs>
        <w:spacing w:before="120"/>
        <w:rPr>
          <w:bCs/>
          <w:szCs w:val="24"/>
        </w:rPr>
      </w:pPr>
      <w:r w:rsidRPr="003D684C">
        <w:rPr>
          <w:bCs/>
          <w:szCs w:val="24"/>
        </w:rPr>
        <w:t xml:space="preserve">A </w:t>
      </w:r>
      <w:r w:rsidR="007D5B48" w:rsidRPr="003D684C">
        <w:rPr>
          <w:rFonts w:cs="Arial"/>
          <w:b/>
          <w:bCs/>
          <w:color w:val="222222"/>
          <w:szCs w:val="24"/>
          <w:shd w:val="clear" w:color="auto" w:fill="FFFFFF"/>
        </w:rPr>
        <w:t>Gyetvai József utca 10503/22 helyrajzi számú ing</w:t>
      </w:r>
      <w:r w:rsidR="007D5B48">
        <w:rPr>
          <w:rFonts w:cs="Arial"/>
          <w:b/>
          <w:bCs/>
          <w:color w:val="222222"/>
          <w:szCs w:val="24"/>
          <w:shd w:val="clear" w:color="auto" w:fill="FFFFFF"/>
        </w:rPr>
        <w:t xml:space="preserve">atlanra, és a Kőlyuk út 9494/24 </w:t>
      </w:r>
      <w:r w:rsidR="007D5B48" w:rsidRPr="003D684C">
        <w:rPr>
          <w:rFonts w:cs="Arial"/>
          <w:b/>
          <w:bCs/>
          <w:color w:val="222222"/>
          <w:szCs w:val="24"/>
          <w:shd w:val="clear" w:color="auto" w:fill="FFFFFF"/>
        </w:rPr>
        <w:t>helyrajzi számú ingatlanra vonatkozó egyedi kérelmek alapján</w:t>
      </w:r>
      <w:r w:rsidR="007D5B48" w:rsidRPr="003D684C">
        <w:rPr>
          <w:bCs/>
          <w:szCs w:val="24"/>
        </w:rPr>
        <w:t xml:space="preserve"> Eger Megyei Jogú Város Önkormányzata </w:t>
      </w:r>
      <w:r w:rsidR="007D5B48">
        <w:rPr>
          <w:bCs/>
          <w:szCs w:val="24"/>
        </w:rPr>
        <w:t>Közgyűlésének</w:t>
      </w:r>
      <w:r w:rsidR="007D5B48" w:rsidRPr="003D684C">
        <w:rPr>
          <w:bCs/>
          <w:szCs w:val="24"/>
        </w:rPr>
        <w:t xml:space="preserve"> Eger Megyei Jogú Város Helyi Építési Szabályzatáról szóló 4/2016.(</w:t>
      </w:r>
      <w:proofErr w:type="spellStart"/>
      <w:r w:rsidR="007D5B48" w:rsidRPr="003D684C">
        <w:rPr>
          <w:bCs/>
          <w:szCs w:val="24"/>
        </w:rPr>
        <w:t>II.26</w:t>
      </w:r>
      <w:proofErr w:type="spellEnd"/>
      <w:r w:rsidR="007D5B48" w:rsidRPr="003D684C">
        <w:rPr>
          <w:bCs/>
          <w:szCs w:val="24"/>
        </w:rPr>
        <w:t>.) szám</w:t>
      </w:r>
      <w:r w:rsidR="007D5B48">
        <w:rPr>
          <w:bCs/>
          <w:szCs w:val="24"/>
        </w:rPr>
        <w:t xml:space="preserve">ú rendelete (továbbiakban: </w:t>
      </w:r>
      <w:proofErr w:type="spellStart"/>
      <w:r w:rsidR="007D5B48">
        <w:rPr>
          <w:bCs/>
          <w:szCs w:val="24"/>
        </w:rPr>
        <w:t>HÉSZ</w:t>
      </w:r>
      <w:proofErr w:type="spellEnd"/>
      <w:r w:rsidR="007D5B48">
        <w:rPr>
          <w:bCs/>
          <w:szCs w:val="24"/>
        </w:rPr>
        <w:t>)</w:t>
      </w:r>
      <w:r w:rsidRPr="003D684C">
        <w:rPr>
          <w:bCs/>
          <w:szCs w:val="24"/>
        </w:rPr>
        <w:t xml:space="preserve"> 1. § (1) bekezdés a) pont </w:t>
      </w:r>
      <w:proofErr w:type="spellStart"/>
      <w:r w:rsidRPr="003D684C">
        <w:rPr>
          <w:bCs/>
          <w:szCs w:val="24"/>
        </w:rPr>
        <w:t>a</w:t>
      </w:r>
      <w:r w:rsidR="00895B19" w:rsidRPr="003D684C">
        <w:rPr>
          <w:bCs/>
          <w:szCs w:val="24"/>
        </w:rPr>
        <w:t>f</w:t>
      </w:r>
      <w:proofErr w:type="spellEnd"/>
      <w:r w:rsidR="007D5B48">
        <w:rPr>
          <w:bCs/>
          <w:szCs w:val="24"/>
        </w:rPr>
        <w:t xml:space="preserve">) alpontja </w:t>
      </w:r>
      <w:r w:rsidRPr="003D684C">
        <w:rPr>
          <w:bCs/>
          <w:szCs w:val="24"/>
        </w:rPr>
        <w:t>a következő rendelkezéssel</w:t>
      </w:r>
      <w:r w:rsidR="007D5B48">
        <w:rPr>
          <w:bCs/>
          <w:szCs w:val="24"/>
        </w:rPr>
        <w:t xml:space="preserve"> egészül ki</w:t>
      </w:r>
      <w:r w:rsidRPr="003D684C">
        <w:rPr>
          <w:bCs/>
          <w:szCs w:val="24"/>
        </w:rPr>
        <w:t>:</w:t>
      </w:r>
    </w:p>
    <w:p w:rsidR="005573A8" w:rsidRPr="003D684C" w:rsidRDefault="005573A8" w:rsidP="005573A8">
      <w:pPr>
        <w:tabs>
          <w:tab w:val="left" w:pos="1418"/>
          <w:tab w:val="left" w:pos="3402"/>
        </w:tabs>
        <w:spacing w:before="120"/>
        <w:ind w:left="3402" w:hanging="2977"/>
        <w:rPr>
          <w:b/>
          <w:bCs/>
          <w:iCs/>
          <w:szCs w:val="24"/>
        </w:rPr>
      </w:pPr>
      <w:proofErr w:type="spellStart"/>
      <w:r w:rsidRPr="003D684C">
        <w:rPr>
          <w:b/>
          <w:bCs/>
          <w:i/>
          <w:iCs/>
          <w:szCs w:val="24"/>
        </w:rPr>
        <w:t>a</w:t>
      </w:r>
      <w:r w:rsidR="00895B19" w:rsidRPr="003D684C">
        <w:rPr>
          <w:b/>
          <w:bCs/>
          <w:i/>
          <w:iCs/>
          <w:szCs w:val="24"/>
        </w:rPr>
        <w:t>f</w:t>
      </w:r>
      <w:proofErr w:type="gramStart"/>
      <w:r w:rsidRPr="003D684C">
        <w:rPr>
          <w:b/>
          <w:bCs/>
          <w:i/>
          <w:iCs/>
          <w:szCs w:val="24"/>
        </w:rPr>
        <w:t>.</w:t>
      </w:r>
      <w:r w:rsidR="00895B19" w:rsidRPr="003D684C">
        <w:rPr>
          <w:b/>
          <w:bCs/>
          <w:i/>
          <w:iCs/>
          <w:szCs w:val="24"/>
        </w:rPr>
        <w:t>XII</w:t>
      </w:r>
      <w:proofErr w:type="spellEnd"/>
      <w:proofErr w:type="gramEnd"/>
      <w:r w:rsidRPr="003D684C">
        <w:rPr>
          <w:b/>
          <w:bCs/>
          <w:i/>
          <w:iCs/>
          <w:szCs w:val="24"/>
        </w:rPr>
        <w:t>.)</w:t>
      </w:r>
      <w:r w:rsidRPr="003D684C">
        <w:rPr>
          <w:b/>
          <w:bCs/>
          <w:iCs/>
          <w:szCs w:val="24"/>
        </w:rPr>
        <w:tab/>
        <w:t>M 1.</w:t>
      </w:r>
      <w:r w:rsidR="00895B19" w:rsidRPr="003D684C">
        <w:rPr>
          <w:b/>
          <w:bCs/>
          <w:iCs/>
          <w:szCs w:val="24"/>
        </w:rPr>
        <w:t>6</w:t>
      </w:r>
      <w:r w:rsidRPr="003D684C">
        <w:rPr>
          <w:b/>
          <w:bCs/>
          <w:iCs/>
          <w:szCs w:val="24"/>
        </w:rPr>
        <w:t>.</w:t>
      </w:r>
      <w:r w:rsidRPr="003D684C">
        <w:rPr>
          <w:b/>
          <w:bCs/>
          <w:szCs w:val="24"/>
        </w:rPr>
        <w:t>–</w:t>
      </w:r>
      <w:proofErr w:type="spellStart"/>
      <w:r w:rsidRPr="003D684C">
        <w:rPr>
          <w:b/>
          <w:bCs/>
          <w:iCs/>
          <w:szCs w:val="24"/>
        </w:rPr>
        <w:t>m</w:t>
      </w:r>
      <w:r w:rsidR="00895B19" w:rsidRPr="003D684C">
        <w:rPr>
          <w:b/>
          <w:bCs/>
          <w:iCs/>
          <w:szCs w:val="24"/>
        </w:rPr>
        <w:t>12</w:t>
      </w:r>
      <w:proofErr w:type="spellEnd"/>
      <w:r w:rsidRPr="003D684C">
        <w:rPr>
          <w:b/>
          <w:bCs/>
          <w:iCs/>
          <w:szCs w:val="24"/>
        </w:rPr>
        <w:t xml:space="preserve"> jelű</w:t>
      </w:r>
      <w:r w:rsidRPr="003D684C">
        <w:rPr>
          <w:b/>
          <w:bCs/>
          <w:iCs/>
          <w:szCs w:val="24"/>
        </w:rPr>
        <w:tab/>
        <w:t>„</w:t>
      </w:r>
      <w:r w:rsidR="00895B19" w:rsidRPr="003D684C">
        <w:rPr>
          <w:rFonts w:cs="Arial"/>
          <w:b/>
          <w:bCs/>
          <w:color w:val="222222"/>
          <w:szCs w:val="24"/>
          <w:shd w:val="clear" w:color="auto" w:fill="FFFFFF"/>
        </w:rPr>
        <w:t xml:space="preserve">Gyetvai József utca 10503/22 </w:t>
      </w:r>
      <w:proofErr w:type="spellStart"/>
      <w:r w:rsidR="00895B19" w:rsidRPr="003D684C">
        <w:rPr>
          <w:rFonts w:cs="Arial"/>
          <w:b/>
          <w:bCs/>
          <w:color w:val="222222"/>
          <w:szCs w:val="24"/>
          <w:shd w:val="clear" w:color="auto" w:fill="FFFFFF"/>
        </w:rPr>
        <w:t>hrsz</w:t>
      </w:r>
      <w:proofErr w:type="spellEnd"/>
      <w:r w:rsidR="00895B19" w:rsidRPr="003D684C">
        <w:rPr>
          <w:rFonts w:cs="Arial"/>
          <w:b/>
          <w:bCs/>
          <w:color w:val="222222"/>
          <w:szCs w:val="24"/>
          <w:shd w:val="clear" w:color="auto" w:fill="FFFFFF"/>
        </w:rPr>
        <w:t>-ú ingatlaná</w:t>
      </w:r>
      <w:r w:rsidR="00800986" w:rsidRPr="003D684C">
        <w:rPr>
          <w:rFonts w:cs="Arial"/>
          <w:b/>
          <w:bCs/>
          <w:color w:val="222222"/>
          <w:szCs w:val="24"/>
          <w:shd w:val="clear" w:color="auto" w:fill="FFFFFF"/>
        </w:rPr>
        <w:t>nak,</w:t>
      </w:r>
      <w:r w:rsidR="00895B19" w:rsidRPr="003D684C">
        <w:rPr>
          <w:rFonts w:cs="Arial"/>
          <w:b/>
          <w:bCs/>
          <w:color w:val="222222"/>
          <w:szCs w:val="24"/>
          <w:shd w:val="clear" w:color="auto" w:fill="FFFFFF"/>
        </w:rPr>
        <w:t xml:space="preserve"> a Kőlyuk út 9494/24 </w:t>
      </w:r>
      <w:proofErr w:type="spellStart"/>
      <w:r w:rsidR="00895B19" w:rsidRPr="003D684C">
        <w:rPr>
          <w:rFonts w:cs="Arial"/>
          <w:b/>
          <w:bCs/>
          <w:color w:val="222222"/>
          <w:szCs w:val="24"/>
          <w:shd w:val="clear" w:color="auto" w:fill="FFFFFF"/>
        </w:rPr>
        <w:t>hrsz</w:t>
      </w:r>
      <w:proofErr w:type="spellEnd"/>
      <w:r w:rsidR="00895B19" w:rsidRPr="003D684C">
        <w:rPr>
          <w:rFonts w:cs="Arial"/>
          <w:b/>
          <w:bCs/>
          <w:color w:val="222222"/>
          <w:szCs w:val="24"/>
          <w:shd w:val="clear" w:color="auto" w:fill="FFFFFF"/>
        </w:rPr>
        <w:t>-ú ingatlaná</w:t>
      </w:r>
      <w:r w:rsidR="00800986" w:rsidRPr="003D684C">
        <w:rPr>
          <w:rFonts w:cs="Arial"/>
          <w:b/>
          <w:bCs/>
          <w:color w:val="222222"/>
          <w:szCs w:val="24"/>
          <w:shd w:val="clear" w:color="auto" w:fill="FFFFFF"/>
        </w:rPr>
        <w:t>nak</w:t>
      </w:r>
      <w:r w:rsidR="00895B19" w:rsidRPr="003D684C">
        <w:rPr>
          <w:rFonts w:cs="Arial"/>
          <w:b/>
          <w:bCs/>
          <w:color w:val="222222"/>
          <w:szCs w:val="24"/>
          <w:shd w:val="clear" w:color="auto" w:fill="FFFFFF"/>
        </w:rPr>
        <w:t xml:space="preserve"> </w:t>
      </w:r>
      <w:r w:rsidRPr="003D684C">
        <w:rPr>
          <w:b/>
          <w:szCs w:val="24"/>
        </w:rPr>
        <w:t>és közvetlen környezeté</w:t>
      </w:r>
      <w:r w:rsidR="00800986" w:rsidRPr="003D684C">
        <w:rPr>
          <w:b/>
          <w:szCs w:val="24"/>
        </w:rPr>
        <w:t>nek</w:t>
      </w:r>
      <w:r w:rsidR="00895B19" w:rsidRPr="003D684C">
        <w:rPr>
          <w:b/>
          <w:szCs w:val="24"/>
        </w:rPr>
        <w:t xml:space="preserve"> </w:t>
      </w:r>
      <w:r w:rsidR="00800986" w:rsidRPr="003D684C">
        <w:rPr>
          <w:b/>
          <w:szCs w:val="24"/>
        </w:rPr>
        <w:t>építési</w:t>
      </w:r>
      <w:r w:rsidRPr="003D684C">
        <w:rPr>
          <w:b/>
          <w:szCs w:val="24"/>
        </w:rPr>
        <w:t xml:space="preserve"> övezeti átsorolása</w:t>
      </w:r>
      <w:r w:rsidRPr="003D684C">
        <w:rPr>
          <w:b/>
          <w:bCs/>
          <w:iCs/>
          <w:szCs w:val="24"/>
        </w:rPr>
        <w:t>”</w:t>
      </w:r>
    </w:p>
    <w:p w:rsidR="0030157C" w:rsidRPr="003D684C" w:rsidRDefault="0030157C" w:rsidP="00510540">
      <w:pPr>
        <w:rPr>
          <w:bCs/>
          <w:szCs w:val="24"/>
        </w:rPr>
      </w:pPr>
    </w:p>
    <w:p w:rsidR="003D1973" w:rsidRPr="003D684C" w:rsidRDefault="003D1973" w:rsidP="00CA7BE2">
      <w:pPr>
        <w:numPr>
          <w:ilvl w:val="0"/>
          <w:numId w:val="1"/>
        </w:numPr>
        <w:spacing w:after="120"/>
        <w:ind w:hanging="170"/>
        <w:jc w:val="center"/>
        <w:rPr>
          <w:b/>
          <w:szCs w:val="24"/>
        </w:rPr>
      </w:pPr>
      <w:r w:rsidRPr="003D684C">
        <w:rPr>
          <w:b/>
          <w:szCs w:val="24"/>
        </w:rPr>
        <w:t>§</w:t>
      </w:r>
    </w:p>
    <w:p w:rsidR="00376DE1" w:rsidRPr="003D684C" w:rsidRDefault="00376DE1" w:rsidP="00376DE1">
      <w:pPr>
        <w:widowControl w:val="0"/>
        <w:autoSpaceDE w:val="0"/>
        <w:autoSpaceDN w:val="0"/>
        <w:adjustRightInd w:val="0"/>
        <w:spacing w:after="120"/>
        <w:rPr>
          <w:rFonts w:cs="Constantia"/>
          <w:szCs w:val="24"/>
        </w:rPr>
      </w:pPr>
      <w:r w:rsidRPr="003D684C">
        <w:rPr>
          <w:rFonts w:cs="Constantia"/>
          <w:szCs w:val="24"/>
        </w:rPr>
        <w:t xml:space="preserve">A </w:t>
      </w:r>
      <w:proofErr w:type="spellStart"/>
      <w:r w:rsidRPr="003D684C">
        <w:rPr>
          <w:rFonts w:cs="Constantia"/>
          <w:szCs w:val="24"/>
        </w:rPr>
        <w:t>HÉSZ</w:t>
      </w:r>
      <w:proofErr w:type="spellEnd"/>
      <w:r w:rsidRPr="003D684C">
        <w:rPr>
          <w:rFonts w:cs="Constantia"/>
          <w:szCs w:val="24"/>
        </w:rPr>
        <w:t xml:space="preserve"> 4</w:t>
      </w:r>
      <w:r w:rsidR="00E928DD" w:rsidRPr="003D684C">
        <w:rPr>
          <w:rFonts w:cs="Constantia"/>
          <w:szCs w:val="24"/>
        </w:rPr>
        <w:t>5</w:t>
      </w:r>
      <w:r w:rsidRPr="003D684C">
        <w:rPr>
          <w:rFonts w:cs="Constantia"/>
          <w:szCs w:val="24"/>
        </w:rPr>
        <w:t xml:space="preserve">. §-a </w:t>
      </w:r>
      <w:r w:rsidR="00E928DD" w:rsidRPr="003D684C">
        <w:rPr>
          <w:rFonts w:cs="Constantia"/>
          <w:szCs w:val="24"/>
        </w:rPr>
        <w:t xml:space="preserve">(1) bekezdése </w:t>
      </w:r>
      <w:r w:rsidRPr="003D684C">
        <w:rPr>
          <w:rFonts w:cs="Constantia"/>
          <w:szCs w:val="24"/>
        </w:rPr>
        <w:t>következő (</w:t>
      </w:r>
      <w:r w:rsidR="00E928DD" w:rsidRPr="003D684C">
        <w:rPr>
          <w:rFonts w:cs="Constantia"/>
          <w:szCs w:val="24"/>
        </w:rPr>
        <w:t>37/a</w:t>
      </w:r>
      <w:r w:rsidRPr="003D684C">
        <w:rPr>
          <w:rFonts w:cs="Constantia"/>
          <w:szCs w:val="24"/>
        </w:rPr>
        <w:t xml:space="preserve">) </w:t>
      </w:r>
      <w:r w:rsidR="00E928DD" w:rsidRPr="003D684C">
        <w:rPr>
          <w:rFonts w:cs="Constantia"/>
          <w:szCs w:val="24"/>
        </w:rPr>
        <w:t>sor</w:t>
      </w:r>
      <w:r w:rsidRPr="003D684C">
        <w:rPr>
          <w:rFonts w:cs="Constantia"/>
          <w:szCs w:val="24"/>
        </w:rPr>
        <w:t xml:space="preserve"> rendelkezésével egészül ki:</w:t>
      </w:r>
    </w:p>
    <w:p w:rsidR="00E928DD" w:rsidRPr="003D684C" w:rsidRDefault="00376DE1" w:rsidP="00CA7BE2">
      <w:pPr>
        <w:widowControl w:val="0"/>
        <w:autoSpaceDE w:val="0"/>
        <w:autoSpaceDN w:val="0"/>
        <w:adjustRightInd w:val="0"/>
        <w:rPr>
          <w:rFonts w:cs="Constantia"/>
          <w:b/>
          <w:bCs/>
          <w:szCs w:val="24"/>
        </w:rPr>
      </w:pPr>
      <w:r w:rsidRPr="003D684C">
        <w:rPr>
          <w:rFonts w:cs="Constantia"/>
          <w:szCs w:val="24"/>
        </w:rPr>
        <w:t>„</w:t>
      </w:r>
    </w:p>
    <w:tbl>
      <w:tblPr>
        <w:tblW w:w="9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2602"/>
        <w:gridCol w:w="992"/>
        <w:gridCol w:w="1276"/>
        <w:gridCol w:w="1559"/>
        <w:gridCol w:w="1380"/>
        <w:gridCol w:w="1314"/>
      </w:tblGrid>
      <w:tr w:rsidR="00CC41F5" w:rsidRPr="00737B86" w:rsidTr="00737B86">
        <w:trPr>
          <w:jc w:val="center"/>
        </w:trPr>
        <w:tc>
          <w:tcPr>
            <w:tcW w:w="654" w:type="dxa"/>
            <w:vMerge w:val="restart"/>
            <w:shd w:val="clear" w:color="auto" w:fill="FFFFFF" w:themeFill="background1"/>
            <w:vAlign w:val="center"/>
          </w:tcPr>
          <w:p w:rsidR="003D1973" w:rsidRPr="00737B86" w:rsidRDefault="003D1973" w:rsidP="00296065">
            <w:pPr>
              <w:jc w:val="center"/>
              <w:rPr>
                <w:smallCaps/>
                <w:sz w:val="18"/>
              </w:rPr>
            </w:pPr>
            <w:r w:rsidRPr="00737B86">
              <w:rPr>
                <w:smallCaps/>
                <w:sz w:val="18"/>
              </w:rPr>
              <w:t>1</w:t>
            </w:r>
          </w:p>
        </w:tc>
        <w:tc>
          <w:tcPr>
            <w:tcW w:w="2602" w:type="dxa"/>
            <w:shd w:val="clear" w:color="auto" w:fill="FFFFFF" w:themeFill="background1"/>
            <w:vAlign w:val="center"/>
          </w:tcPr>
          <w:p w:rsidR="003D1973" w:rsidRPr="00737B86" w:rsidRDefault="003D1973" w:rsidP="00296065">
            <w:pPr>
              <w:jc w:val="center"/>
              <w:rPr>
                <w:b/>
                <w:smallCaps/>
                <w:sz w:val="18"/>
              </w:rPr>
            </w:pPr>
            <w:r w:rsidRPr="00737B86">
              <w:rPr>
                <w:b/>
                <w:smallCaps/>
                <w:sz w:val="18"/>
              </w:rPr>
              <w:t>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D1973" w:rsidRPr="00737B86" w:rsidRDefault="003D1973" w:rsidP="00296065">
            <w:pPr>
              <w:jc w:val="center"/>
              <w:rPr>
                <w:b/>
                <w:smallCaps/>
                <w:sz w:val="18"/>
              </w:rPr>
            </w:pPr>
            <w:r w:rsidRPr="00737B86">
              <w:rPr>
                <w:b/>
                <w:smallCaps/>
                <w:sz w:val="18"/>
              </w:rPr>
              <w:t>B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D1973" w:rsidRPr="00737B86" w:rsidRDefault="003D1973" w:rsidP="00296065">
            <w:pPr>
              <w:jc w:val="center"/>
              <w:rPr>
                <w:b/>
                <w:smallCaps/>
                <w:sz w:val="18"/>
              </w:rPr>
            </w:pPr>
            <w:r w:rsidRPr="00737B86">
              <w:rPr>
                <w:b/>
                <w:smallCaps/>
                <w:sz w:val="18"/>
              </w:rPr>
              <w:t>C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D1973" w:rsidRPr="00737B86" w:rsidRDefault="003D1973" w:rsidP="00296065">
            <w:pPr>
              <w:jc w:val="center"/>
              <w:rPr>
                <w:b/>
                <w:smallCaps/>
                <w:sz w:val="18"/>
              </w:rPr>
            </w:pPr>
            <w:r w:rsidRPr="00737B86">
              <w:rPr>
                <w:b/>
                <w:smallCaps/>
                <w:sz w:val="18"/>
              </w:rPr>
              <w:t>D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D1973" w:rsidRPr="00737B86" w:rsidRDefault="003D1973" w:rsidP="00296065">
            <w:pPr>
              <w:jc w:val="center"/>
              <w:rPr>
                <w:b/>
                <w:smallCaps/>
                <w:sz w:val="18"/>
              </w:rPr>
            </w:pPr>
            <w:r w:rsidRPr="00737B86">
              <w:rPr>
                <w:b/>
                <w:smallCaps/>
                <w:sz w:val="18"/>
              </w:rPr>
              <w:t>E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D1973" w:rsidRPr="00737B86" w:rsidRDefault="003D1973" w:rsidP="00296065">
            <w:pPr>
              <w:jc w:val="center"/>
              <w:rPr>
                <w:b/>
                <w:smallCaps/>
                <w:sz w:val="18"/>
              </w:rPr>
            </w:pPr>
            <w:r w:rsidRPr="00737B86">
              <w:rPr>
                <w:b/>
                <w:smallCaps/>
                <w:sz w:val="18"/>
              </w:rPr>
              <w:t>F</w:t>
            </w:r>
          </w:p>
        </w:tc>
      </w:tr>
      <w:tr w:rsidR="00CC41F5" w:rsidRPr="00737B86" w:rsidTr="00737B86">
        <w:trPr>
          <w:jc w:val="center"/>
        </w:trPr>
        <w:tc>
          <w:tcPr>
            <w:tcW w:w="654" w:type="dxa"/>
            <w:vMerge/>
            <w:shd w:val="clear" w:color="auto" w:fill="FFFFFF" w:themeFill="background1"/>
            <w:vAlign w:val="center"/>
          </w:tcPr>
          <w:p w:rsidR="003D1973" w:rsidRPr="00737B86" w:rsidRDefault="003D1973" w:rsidP="00296065">
            <w:pPr>
              <w:jc w:val="center"/>
              <w:rPr>
                <w:smallCaps/>
                <w:sz w:val="18"/>
              </w:rPr>
            </w:pPr>
          </w:p>
        </w:tc>
        <w:tc>
          <w:tcPr>
            <w:tcW w:w="2602" w:type="dxa"/>
            <w:vMerge w:val="restart"/>
            <w:shd w:val="clear" w:color="auto" w:fill="D9D9D9"/>
            <w:vAlign w:val="center"/>
          </w:tcPr>
          <w:p w:rsidR="003D1973" w:rsidRPr="00737B86" w:rsidRDefault="003D1973" w:rsidP="00296065">
            <w:pPr>
              <w:jc w:val="center"/>
              <w:rPr>
                <w:b/>
                <w:smallCaps/>
                <w:sz w:val="18"/>
              </w:rPr>
            </w:pPr>
            <w:r w:rsidRPr="00737B86">
              <w:rPr>
                <w:b/>
                <w:smallCaps/>
                <w:sz w:val="18"/>
              </w:rPr>
              <w:t>Építési övezet, övezet jele</w:t>
            </w:r>
          </w:p>
          <w:p w:rsidR="003D1973" w:rsidRPr="00737B86" w:rsidRDefault="003D1973" w:rsidP="00296065">
            <w:pPr>
              <w:jc w:val="center"/>
              <w:rPr>
                <w:sz w:val="18"/>
              </w:rPr>
            </w:pPr>
            <w:r w:rsidRPr="00737B86">
              <w:rPr>
                <w:sz w:val="18"/>
              </w:rPr>
              <w:t>(szabályozási terv szerint)</w:t>
            </w:r>
          </w:p>
        </w:tc>
        <w:tc>
          <w:tcPr>
            <w:tcW w:w="6521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D1973" w:rsidRPr="00737B86" w:rsidRDefault="003D1973" w:rsidP="00296065">
            <w:pPr>
              <w:jc w:val="center"/>
              <w:rPr>
                <w:sz w:val="18"/>
              </w:rPr>
            </w:pPr>
            <w:r w:rsidRPr="00737B86">
              <w:rPr>
                <w:b/>
                <w:smallCaps/>
                <w:sz w:val="18"/>
              </w:rPr>
              <w:t>A telkek építési használatának megengedett határértékei</w:t>
            </w:r>
          </w:p>
        </w:tc>
      </w:tr>
      <w:tr w:rsidR="00CC41F5" w:rsidRPr="00737B86" w:rsidTr="00737B86">
        <w:trPr>
          <w:jc w:val="center"/>
        </w:trPr>
        <w:tc>
          <w:tcPr>
            <w:tcW w:w="654" w:type="dxa"/>
            <w:vMerge/>
            <w:shd w:val="clear" w:color="auto" w:fill="FFFFFF" w:themeFill="background1"/>
            <w:vAlign w:val="center"/>
          </w:tcPr>
          <w:p w:rsidR="003D1973" w:rsidRPr="00737B86" w:rsidRDefault="003D1973" w:rsidP="00296065">
            <w:pPr>
              <w:jc w:val="center"/>
              <w:rPr>
                <w:smallCaps/>
                <w:sz w:val="18"/>
              </w:rPr>
            </w:pPr>
          </w:p>
        </w:tc>
        <w:tc>
          <w:tcPr>
            <w:tcW w:w="2602" w:type="dxa"/>
            <w:vMerge/>
            <w:shd w:val="clear" w:color="auto" w:fill="D9D9D9"/>
            <w:vAlign w:val="center"/>
          </w:tcPr>
          <w:p w:rsidR="003D1973" w:rsidRPr="00737B86" w:rsidRDefault="003D1973" w:rsidP="00296065">
            <w:pPr>
              <w:jc w:val="center"/>
              <w:rPr>
                <w:smallCaps/>
                <w:sz w:val="18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:rsidR="003D1973" w:rsidRPr="00737B86" w:rsidRDefault="003D1973" w:rsidP="00296065">
            <w:pPr>
              <w:jc w:val="center"/>
              <w:rPr>
                <w:smallCaps/>
                <w:sz w:val="18"/>
              </w:rPr>
            </w:pPr>
            <w:r w:rsidRPr="00737B86">
              <w:rPr>
                <w:smallCaps/>
                <w:sz w:val="18"/>
              </w:rPr>
              <w:t>Beépítési mód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3D1973" w:rsidRPr="00737B86" w:rsidRDefault="003D1973" w:rsidP="00296065">
            <w:pPr>
              <w:jc w:val="center"/>
              <w:rPr>
                <w:smallCaps/>
                <w:sz w:val="18"/>
              </w:rPr>
            </w:pPr>
            <w:r w:rsidRPr="00737B86">
              <w:rPr>
                <w:smallCaps/>
                <w:sz w:val="18"/>
              </w:rPr>
              <w:t>Legnagyobb beépítettség (%)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3D1973" w:rsidRPr="00737B86" w:rsidRDefault="003D1973" w:rsidP="00296065">
            <w:pPr>
              <w:jc w:val="center"/>
              <w:rPr>
                <w:smallCaps/>
                <w:sz w:val="18"/>
              </w:rPr>
            </w:pPr>
            <w:r w:rsidRPr="00737B86">
              <w:rPr>
                <w:smallCaps/>
                <w:sz w:val="18"/>
              </w:rPr>
              <w:t>Legnagyobb épületmagasság</w:t>
            </w:r>
          </w:p>
          <w:p w:rsidR="003D1973" w:rsidRPr="00737B86" w:rsidRDefault="003D1973" w:rsidP="00296065">
            <w:pPr>
              <w:jc w:val="center"/>
              <w:rPr>
                <w:sz w:val="18"/>
              </w:rPr>
            </w:pPr>
            <w:r w:rsidRPr="00737B86">
              <w:rPr>
                <w:sz w:val="18"/>
              </w:rPr>
              <w:t>(m)</w:t>
            </w:r>
          </w:p>
        </w:tc>
        <w:tc>
          <w:tcPr>
            <w:tcW w:w="1380" w:type="dxa"/>
            <w:shd w:val="clear" w:color="auto" w:fill="D9D9D9"/>
            <w:vAlign w:val="center"/>
          </w:tcPr>
          <w:p w:rsidR="003D1973" w:rsidRPr="00737B86" w:rsidRDefault="003D1973" w:rsidP="00296065">
            <w:pPr>
              <w:jc w:val="center"/>
              <w:rPr>
                <w:smallCaps/>
                <w:sz w:val="18"/>
              </w:rPr>
            </w:pPr>
            <w:r w:rsidRPr="00737B86">
              <w:rPr>
                <w:smallCaps/>
                <w:sz w:val="18"/>
              </w:rPr>
              <w:t>Kialakítható legkisebb telekterület</w:t>
            </w:r>
          </w:p>
          <w:p w:rsidR="003D1973" w:rsidRPr="00737B86" w:rsidRDefault="003D1973" w:rsidP="00296065">
            <w:pPr>
              <w:jc w:val="center"/>
              <w:rPr>
                <w:sz w:val="18"/>
              </w:rPr>
            </w:pPr>
            <w:r w:rsidRPr="00737B86">
              <w:rPr>
                <w:sz w:val="18"/>
              </w:rPr>
              <w:t>(m</w:t>
            </w:r>
            <w:r w:rsidRPr="00737B86">
              <w:rPr>
                <w:sz w:val="18"/>
                <w:vertAlign w:val="superscript"/>
              </w:rPr>
              <w:t>2</w:t>
            </w:r>
            <w:r w:rsidRPr="00737B86">
              <w:rPr>
                <w:sz w:val="18"/>
              </w:rPr>
              <w:t>)</w:t>
            </w:r>
          </w:p>
        </w:tc>
        <w:tc>
          <w:tcPr>
            <w:tcW w:w="1314" w:type="dxa"/>
            <w:shd w:val="clear" w:color="auto" w:fill="D9D9D9"/>
            <w:vAlign w:val="center"/>
          </w:tcPr>
          <w:p w:rsidR="003D1973" w:rsidRPr="00737B86" w:rsidRDefault="003D1973" w:rsidP="00296065">
            <w:pPr>
              <w:jc w:val="center"/>
              <w:rPr>
                <w:smallCaps/>
                <w:sz w:val="18"/>
              </w:rPr>
            </w:pPr>
            <w:r w:rsidRPr="00737B86">
              <w:rPr>
                <w:smallCaps/>
                <w:sz w:val="18"/>
              </w:rPr>
              <w:t>Legkisebb zöldfelület</w:t>
            </w:r>
          </w:p>
          <w:p w:rsidR="003D1973" w:rsidRPr="00737B86" w:rsidRDefault="003D1973" w:rsidP="00296065">
            <w:pPr>
              <w:jc w:val="center"/>
              <w:rPr>
                <w:sz w:val="18"/>
              </w:rPr>
            </w:pPr>
            <w:r w:rsidRPr="00737B86">
              <w:rPr>
                <w:sz w:val="18"/>
              </w:rPr>
              <w:t>(%)</w:t>
            </w:r>
          </w:p>
        </w:tc>
      </w:tr>
      <w:tr w:rsidR="00CC41F5" w:rsidRPr="003D684C" w:rsidTr="00737B86">
        <w:trPr>
          <w:jc w:val="center"/>
        </w:trPr>
        <w:tc>
          <w:tcPr>
            <w:tcW w:w="654" w:type="dxa"/>
            <w:vAlign w:val="center"/>
          </w:tcPr>
          <w:p w:rsidR="003D1973" w:rsidRPr="003D684C" w:rsidRDefault="00E928DD" w:rsidP="00296065">
            <w:pPr>
              <w:spacing w:before="60" w:after="60"/>
              <w:jc w:val="center"/>
              <w:rPr>
                <w:szCs w:val="24"/>
              </w:rPr>
            </w:pPr>
            <w:r w:rsidRPr="003D684C">
              <w:rPr>
                <w:szCs w:val="24"/>
              </w:rPr>
              <w:t>37/</w:t>
            </w:r>
            <w:proofErr w:type="gramStart"/>
            <w:r w:rsidRPr="003D684C">
              <w:rPr>
                <w:szCs w:val="24"/>
              </w:rPr>
              <w:t>a</w:t>
            </w:r>
            <w:proofErr w:type="gramEnd"/>
          </w:p>
        </w:tc>
        <w:tc>
          <w:tcPr>
            <w:tcW w:w="2602" w:type="dxa"/>
            <w:vAlign w:val="center"/>
          </w:tcPr>
          <w:p w:rsidR="003D1973" w:rsidRPr="003D684C" w:rsidRDefault="00E928DD" w:rsidP="00E928DD">
            <w:pPr>
              <w:spacing w:before="60" w:after="60"/>
              <w:rPr>
                <w:b/>
                <w:szCs w:val="24"/>
              </w:rPr>
            </w:pPr>
            <w:proofErr w:type="spellStart"/>
            <w:r w:rsidRPr="003D684C">
              <w:rPr>
                <w:b/>
                <w:szCs w:val="24"/>
              </w:rPr>
              <w:t>Gksz</w:t>
            </w:r>
            <w:proofErr w:type="spellEnd"/>
            <w:r w:rsidR="003D1973" w:rsidRPr="003D684C">
              <w:rPr>
                <w:b/>
                <w:szCs w:val="24"/>
              </w:rPr>
              <w:t>/</w:t>
            </w:r>
            <w:proofErr w:type="spellStart"/>
            <w:r w:rsidRPr="003D684C">
              <w:rPr>
                <w:b/>
                <w:szCs w:val="24"/>
              </w:rPr>
              <w:t>SZ</w:t>
            </w:r>
            <w:proofErr w:type="spellEnd"/>
            <w:r w:rsidRPr="003D684C">
              <w:rPr>
                <w:b/>
                <w:szCs w:val="24"/>
              </w:rPr>
              <w:t>-50-10,5-3000</w:t>
            </w:r>
          </w:p>
        </w:tc>
        <w:tc>
          <w:tcPr>
            <w:tcW w:w="992" w:type="dxa"/>
            <w:vAlign w:val="center"/>
          </w:tcPr>
          <w:p w:rsidR="003D1973" w:rsidRPr="003D684C" w:rsidRDefault="00E928DD" w:rsidP="00296065">
            <w:pPr>
              <w:spacing w:before="60" w:after="60"/>
              <w:jc w:val="center"/>
              <w:rPr>
                <w:b/>
                <w:szCs w:val="24"/>
              </w:rPr>
            </w:pPr>
            <w:proofErr w:type="spellStart"/>
            <w:r w:rsidRPr="003D684C">
              <w:rPr>
                <w:b/>
                <w:szCs w:val="24"/>
              </w:rPr>
              <w:t>SZ</w:t>
            </w:r>
            <w:proofErr w:type="spellEnd"/>
          </w:p>
        </w:tc>
        <w:tc>
          <w:tcPr>
            <w:tcW w:w="1276" w:type="dxa"/>
            <w:vAlign w:val="center"/>
          </w:tcPr>
          <w:p w:rsidR="003D1973" w:rsidRPr="003D684C" w:rsidRDefault="00E928DD" w:rsidP="00296065">
            <w:pPr>
              <w:spacing w:before="60" w:after="60"/>
              <w:jc w:val="center"/>
              <w:rPr>
                <w:b/>
                <w:szCs w:val="24"/>
              </w:rPr>
            </w:pPr>
            <w:r w:rsidRPr="003D684C">
              <w:rPr>
                <w:b/>
                <w:szCs w:val="24"/>
              </w:rPr>
              <w:t>5</w:t>
            </w:r>
            <w:r w:rsidR="003D1973" w:rsidRPr="003D684C">
              <w:rPr>
                <w:b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3D1973" w:rsidRPr="003D684C" w:rsidRDefault="00E928DD" w:rsidP="00296065">
            <w:pPr>
              <w:spacing w:before="60" w:after="60"/>
              <w:jc w:val="center"/>
              <w:rPr>
                <w:b/>
                <w:szCs w:val="24"/>
              </w:rPr>
            </w:pPr>
            <w:r w:rsidRPr="003D684C">
              <w:rPr>
                <w:b/>
                <w:szCs w:val="24"/>
              </w:rPr>
              <w:t>10,5</w:t>
            </w:r>
          </w:p>
        </w:tc>
        <w:tc>
          <w:tcPr>
            <w:tcW w:w="1380" w:type="dxa"/>
            <w:vAlign w:val="center"/>
          </w:tcPr>
          <w:p w:rsidR="003D1973" w:rsidRPr="003D684C" w:rsidRDefault="00E928DD" w:rsidP="00296065">
            <w:pPr>
              <w:spacing w:before="60" w:after="60"/>
              <w:jc w:val="center"/>
              <w:rPr>
                <w:b/>
                <w:szCs w:val="24"/>
              </w:rPr>
            </w:pPr>
            <w:r w:rsidRPr="003D684C">
              <w:rPr>
                <w:b/>
                <w:szCs w:val="24"/>
              </w:rPr>
              <w:t>3000</w:t>
            </w:r>
          </w:p>
        </w:tc>
        <w:tc>
          <w:tcPr>
            <w:tcW w:w="1314" w:type="dxa"/>
            <w:vAlign w:val="center"/>
          </w:tcPr>
          <w:p w:rsidR="003D1973" w:rsidRPr="003D684C" w:rsidRDefault="003D1973" w:rsidP="00296065">
            <w:pPr>
              <w:spacing w:before="60" w:after="60"/>
              <w:jc w:val="center"/>
              <w:rPr>
                <w:b/>
                <w:szCs w:val="24"/>
              </w:rPr>
            </w:pPr>
            <w:r w:rsidRPr="003D684C">
              <w:rPr>
                <w:b/>
                <w:szCs w:val="24"/>
              </w:rPr>
              <w:t>20</w:t>
            </w:r>
          </w:p>
        </w:tc>
      </w:tr>
    </w:tbl>
    <w:p w:rsidR="003D1973" w:rsidRPr="003D684C" w:rsidRDefault="00E928DD" w:rsidP="00510540">
      <w:pPr>
        <w:rPr>
          <w:bCs/>
          <w:szCs w:val="24"/>
        </w:rPr>
      </w:pPr>
      <w:r w:rsidRPr="003D684C">
        <w:rPr>
          <w:bCs/>
          <w:szCs w:val="24"/>
        </w:rPr>
        <w:t>„</w:t>
      </w:r>
    </w:p>
    <w:p w:rsidR="00376DE1" w:rsidRPr="003D684C" w:rsidRDefault="00376DE1" w:rsidP="00376DE1">
      <w:pPr>
        <w:numPr>
          <w:ilvl w:val="0"/>
          <w:numId w:val="1"/>
        </w:numPr>
        <w:spacing w:after="120"/>
        <w:ind w:hanging="170"/>
        <w:jc w:val="center"/>
        <w:rPr>
          <w:b/>
          <w:szCs w:val="24"/>
        </w:rPr>
      </w:pPr>
      <w:r w:rsidRPr="003D684C">
        <w:rPr>
          <w:b/>
          <w:szCs w:val="24"/>
        </w:rPr>
        <w:t>§</w:t>
      </w:r>
    </w:p>
    <w:p w:rsidR="00376DE1" w:rsidRPr="003D684C" w:rsidRDefault="003D684C" w:rsidP="003D684C">
      <w:pPr>
        <w:widowControl w:val="0"/>
        <w:autoSpaceDE w:val="0"/>
        <w:autoSpaceDN w:val="0"/>
        <w:adjustRightInd w:val="0"/>
        <w:spacing w:after="120"/>
        <w:rPr>
          <w:rFonts w:cs="Constantia"/>
          <w:szCs w:val="24"/>
        </w:rPr>
      </w:pPr>
      <w:r w:rsidRPr="003D684C">
        <w:rPr>
          <w:rFonts w:cs="Constantia"/>
          <w:szCs w:val="24"/>
        </w:rPr>
        <w:t>(1</w:t>
      </w:r>
      <w:r>
        <w:rPr>
          <w:rFonts w:cs="Constantia"/>
          <w:szCs w:val="24"/>
        </w:rPr>
        <w:t xml:space="preserve">) </w:t>
      </w:r>
      <w:r w:rsidR="00376DE1" w:rsidRPr="003D684C">
        <w:rPr>
          <w:rFonts w:cs="Constantia"/>
          <w:szCs w:val="24"/>
        </w:rPr>
        <w:t xml:space="preserve">A </w:t>
      </w:r>
      <w:proofErr w:type="spellStart"/>
      <w:r w:rsidR="00376DE1" w:rsidRPr="003D684C">
        <w:rPr>
          <w:rFonts w:cs="Constantia"/>
          <w:szCs w:val="24"/>
        </w:rPr>
        <w:t>HÉSZ</w:t>
      </w:r>
      <w:proofErr w:type="spellEnd"/>
      <w:r w:rsidR="00376DE1" w:rsidRPr="003D684C">
        <w:rPr>
          <w:rFonts w:cs="Constantia"/>
          <w:szCs w:val="24"/>
        </w:rPr>
        <w:t xml:space="preserve"> </w:t>
      </w:r>
      <w:r w:rsidR="00450CB3" w:rsidRPr="003D684C">
        <w:rPr>
          <w:rFonts w:cs="Constantia"/>
          <w:szCs w:val="24"/>
        </w:rPr>
        <w:t>69.</w:t>
      </w:r>
      <w:r w:rsidR="00737B86">
        <w:rPr>
          <w:rFonts w:cs="Constantia"/>
          <w:szCs w:val="24"/>
        </w:rPr>
        <w:t xml:space="preserve"> </w:t>
      </w:r>
      <w:r w:rsidR="00450CB3" w:rsidRPr="003D684C">
        <w:rPr>
          <w:rFonts w:cs="Constantia"/>
          <w:szCs w:val="24"/>
        </w:rPr>
        <w:t>§-</w:t>
      </w:r>
      <w:proofErr w:type="gramStart"/>
      <w:r w:rsidR="00376DE1" w:rsidRPr="003D684C">
        <w:rPr>
          <w:rFonts w:cs="Constantia"/>
          <w:szCs w:val="24"/>
        </w:rPr>
        <w:t>a</w:t>
      </w:r>
      <w:proofErr w:type="gramEnd"/>
      <w:r w:rsidR="00376DE1" w:rsidRPr="003D684C">
        <w:rPr>
          <w:rFonts w:cs="Constantia"/>
          <w:szCs w:val="24"/>
        </w:rPr>
        <w:t xml:space="preserve"> </w:t>
      </w:r>
      <w:proofErr w:type="spellStart"/>
      <w:r w:rsidR="00450CB3" w:rsidRPr="003D684C">
        <w:rPr>
          <w:rFonts w:cs="Constantia"/>
          <w:szCs w:val="24"/>
        </w:rPr>
        <w:t>a</w:t>
      </w:r>
      <w:proofErr w:type="spellEnd"/>
      <w:r w:rsidR="00450CB3" w:rsidRPr="003D684C">
        <w:rPr>
          <w:rFonts w:cs="Constantia"/>
          <w:szCs w:val="24"/>
        </w:rPr>
        <w:t xml:space="preserve"> </w:t>
      </w:r>
      <w:r w:rsidR="00376DE1" w:rsidRPr="003D684C">
        <w:rPr>
          <w:rFonts w:cs="Constantia"/>
          <w:szCs w:val="24"/>
        </w:rPr>
        <w:t xml:space="preserve">következő </w:t>
      </w:r>
      <w:r w:rsidR="00450CB3" w:rsidRPr="003D684C">
        <w:rPr>
          <w:rFonts w:cs="Constantia"/>
          <w:szCs w:val="24"/>
        </w:rPr>
        <w:t xml:space="preserve">(5) bekezdés rendelkezésével </w:t>
      </w:r>
      <w:r w:rsidR="00376DE1" w:rsidRPr="003D684C">
        <w:rPr>
          <w:rFonts w:cs="Constantia"/>
          <w:szCs w:val="24"/>
        </w:rPr>
        <w:t>egészül ki:</w:t>
      </w:r>
    </w:p>
    <w:p w:rsidR="00450CB3" w:rsidRDefault="00FB2642" w:rsidP="00E638D3">
      <w:pPr>
        <w:widowControl w:val="0"/>
        <w:autoSpaceDE w:val="0"/>
        <w:autoSpaceDN w:val="0"/>
        <w:adjustRightInd w:val="0"/>
        <w:spacing w:after="120"/>
        <w:ind w:left="426" w:hanging="426"/>
        <w:rPr>
          <w:rFonts w:cs="Constantia"/>
          <w:b/>
          <w:szCs w:val="24"/>
        </w:rPr>
      </w:pPr>
      <w:r w:rsidRPr="00E638D3">
        <w:rPr>
          <w:rFonts w:cs="Constantia"/>
          <w:b/>
          <w:szCs w:val="24"/>
        </w:rPr>
        <w:t xml:space="preserve"> </w:t>
      </w:r>
      <w:r w:rsidR="00450CB3" w:rsidRPr="00E638D3">
        <w:rPr>
          <w:rFonts w:cs="Constantia"/>
          <w:b/>
          <w:szCs w:val="24"/>
        </w:rPr>
        <w:t>„(</w:t>
      </w:r>
      <w:r w:rsidR="00450CB3" w:rsidRPr="003D684C">
        <w:rPr>
          <w:rFonts w:cs="Constantia"/>
          <w:b/>
          <w:szCs w:val="24"/>
        </w:rPr>
        <w:t xml:space="preserve">5) A Gyetvai József utca és a Kőlyuk út gazdasági besorolású építési övezeteiben, </w:t>
      </w:r>
      <w:r w:rsidR="006F2780" w:rsidRPr="003D684C">
        <w:rPr>
          <w:rFonts w:cs="Constantia"/>
          <w:b/>
          <w:szCs w:val="24"/>
        </w:rPr>
        <w:t xml:space="preserve">új épület építésekor, meglévő épület csarnok bővítésekor </w:t>
      </w:r>
      <w:r w:rsidR="00450CB3" w:rsidRPr="003D684C">
        <w:rPr>
          <w:rFonts w:cs="Constantia"/>
          <w:b/>
          <w:szCs w:val="24"/>
        </w:rPr>
        <w:t>a 3</w:t>
      </w:r>
      <w:r w:rsidR="00E638D3">
        <w:rPr>
          <w:rFonts w:cs="Constantia"/>
          <w:b/>
          <w:szCs w:val="24"/>
        </w:rPr>
        <w:t xml:space="preserve">,0 </w:t>
      </w:r>
      <w:r w:rsidR="00450CB3" w:rsidRPr="003D684C">
        <w:rPr>
          <w:rFonts w:cs="Constantia"/>
          <w:b/>
          <w:szCs w:val="24"/>
        </w:rPr>
        <w:t>m szélességet elérő és meghaladó zöldfelületeken a telekhatárok mentén, fasor (háromszintű zöldfelület) telepítendő.</w:t>
      </w:r>
      <w:r w:rsidR="00450CB3" w:rsidRPr="00E638D3">
        <w:rPr>
          <w:rFonts w:cs="Constantia"/>
          <w:b/>
          <w:szCs w:val="24"/>
        </w:rPr>
        <w:t>”</w:t>
      </w:r>
    </w:p>
    <w:p w:rsidR="00523C1F" w:rsidRPr="00E638D3" w:rsidRDefault="00523C1F" w:rsidP="00E638D3">
      <w:pPr>
        <w:widowControl w:val="0"/>
        <w:autoSpaceDE w:val="0"/>
        <w:autoSpaceDN w:val="0"/>
        <w:adjustRightInd w:val="0"/>
        <w:spacing w:after="120"/>
        <w:ind w:left="426" w:hanging="426"/>
        <w:rPr>
          <w:rFonts w:cs="Constantia"/>
          <w:b/>
          <w:szCs w:val="24"/>
        </w:rPr>
      </w:pPr>
    </w:p>
    <w:p w:rsidR="006F2780" w:rsidRPr="003D684C" w:rsidRDefault="006F2780" w:rsidP="006F2780">
      <w:pPr>
        <w:widowControl w:val="0"/>
        <w:autoSpaceDE w:val="0"/>
        <w:autoSpaceDN w:val="0"/>
        <w:adjustRightInd w:val="0"/>
        <w:spacing w:after="120"/>
        <w:rPr>
          <w:rFonts w:cs="Constantia"/>
          <w:szCs w:val="24"/>
        </w:rPr>
      </w:pPr>
      <w:r w:rsidRPr="003D684C">
        <w:rPr>
          <w:rFonts w:cs="Constantia"/>
          <w:szCs w:val="24"/>
        </w:rPr>
        <w:t>(</w:t>
      </w:r>
      <w:r w:rsidR="00227DF2" w:rsidRPr="003D684C">
        <w:rPr>
          <w:rFonts w:cs="Constantia"/>
          <w:szCs w:val="24"/>
        </w:rPr>
        <w:t>2</w:t>
      </w:r>
      <w:r w:rsidRPr="003D684C">
        <w:rPr>
          <w:rFonts w:cs="Constantia"/>
          <w:szCs w:val="24"/>
        </w:rPr>
        <w:t xml:space="preserve">) A </w:t>
      </w:r>
      <w:proofErr w:type="spellStart"/>
      <w:r w:rsidRPr="003D684C">
        <w:rPr>
          <w:rFonts w:cs="Constantia"/>
          <w:szCs w:val="24"/>
        </w:rPr>
        <w:t>HÉSZ</w:t>
      </w:r>
      <w:proofErr w:type="spellEnd"/>
      <w:r w:rsidRPr="003D684C">
        <w:rPr>
          <w:rFonts w:cs="Constantia"/>
          <w:szCs w:val="24"/>
        </w:rPr>
        <w:t xml:space="preserve"> 69.</w:t>
      </w:r>
      <w:r w:rsidR="003D684C">
        <w:rPr>
          <w:rFonts w:cs="Constantia"/>
          <w:szCs w:val="24"/>
        </w:rPr>
        <w:t xml:space="preserve"> </w:t>
      </w:r>
      <w:r w:rsidRPr="003D684C">
        <w:rPr>
          <w:rFonts w:cs="Constantia"/>
          <w:szCs w:val="24"/>
        </w:rPr>
        <w:t>§-</w:t>
      </w:r>
      <w:proofErr w:type="gramStart"/>
      <w:r w:rsidRPr="003D684C">
        <w:rPr>
          <w:rFonts w:cs="Constantia"/>
          <w:szCs w:val="24"/>
        </w:rPr>
        <w:t>a</w:t>
      </w:r>
      <w:proofErr w:type="gramEnd"/>
      <w:r w:rsidRPr="003D684C">
        <w:rPr>
          <w:rFonts w:cs="Constantia"/>
          <w:szCs w:val="24"/>
        </w:rPr>
        <w:t xml:space="preserve"> </w:t>
      </w:r>
      <w:proofErr w:type="spellStart"/>
      <w:r w:rsidRPr="003D684C">
        <w:rPr>
          <w:rFonts w:cs="Constantia"/>
          <w:szCs w:val="24"/>
        </w:rPr>
        <w:t>a</w:t>
      </w:r>
      <w:proofErr w:type="spellEnd"/>
      <w:r w:rsidRPr="003D684C">
        <w:rPr>
          <w:rFonts w:cs="Constantia"/>
          <w:szCs w:val="24"/>
        </w:rPr>
        <w:t xml:space="preserve"> következő (6) bekezdés rendelkezésével egészül ki:</w:t>
      </w:r>
    </w:p>
    <w:p w:rsidR="00450CB3" w:rsidRPr="003D684C" w:rsidRDefault="006F2780" w:rsidP="00227DF2">
      <w:pPr>
        <w:widowControl w:val="0"/>
        <w:autoSpaceDE w:val="0"/>
        <w:autoSpaceDN w:val="0"/>
        <w:adjustRightInd w:val="0"/>
        <w:spacing w:after="120"/>
        <w:ind w:left="426" w:hanging="426"/>
        <w:rPr>
          <w:rFonts w:cs="Constantia"/>
          <w:b/>
          <w:szCs w:val="24"/>
        </w:rPr>
      </w:pPr>
      <w:r w:rsidRPr="003D684C">
        <w:rPr>
          <w:rFonts w:cs="Constantia"/>
          <w:b/>
          <w:szCs w:val="24"/>
        </w:rPr>
        <w:t xml:space="preserve">„(6) </w:t>
      </w:r>
      <w:r w:rsidR="00141FB3" w:rsidRPr="003D684C">
        <w:rPr>
          <w:rFonts w:cs="Constantia"/>
          <w:b/>
          <w:szCs w:val="24"/>
        </w:rPr>
        <w:t xml:space="preserve">A </w:t>
      </w:r>
      <w:r w:rsidR="00880CFE" w:rsidRPr="003D684C">
        <w:rPr>
          <w:rFonts w:cs="Constantia"/>
          <w:b/>
          <w:szCs w:val="24"/>
        </w:rPr>
        <w:t xml:space="preserve">Mátyás </w:t>
      </w:r>
      <w:proofErr w:type="gramStart"/>
      <w:r w:rsidR="00880CFE" w:rsidRPr="003D684C">
        <w:rPr>
          <w:rFonts w:cs="Constantia"/>
          <w:b/>
          <w:szCs w:val="24"/>
        </w:rPr>
        <w:t>király út</w:t>
      </w:r>
      <w:proofErr w:type="gramEnd"/>
      <w:r w:rsidR="00880CFE" w:rsidRPr="003D684C">
        <w:rPr>
          <w:rFonts w:cs="Constantia"/>
          <w:b/>
          <w:szCs w:val="24"/>
        </w:rPr>
        <w:t xml:space="preserve"> délkeleti részén, a </w:t>
      </w:r>
      <w:proofErr w:type="spellStart"/>
      <w:r w:rsidR="00880CFE" w:rsidRPr="003D684C">
        <w:rPr>
          <w:rFonts w:cs="Constantia"/>
          <w:b/>
          <w:szCs w:val="24"/>
        </w:rPr>
        <w:t>Kb-Közl</w:t>
      </w:r>
      <w:proofErr w:type="spellEnd"/>
      <w:r w:rsidR="00880CFE" w:rsidRPr="003D684C">
        <w:rPr>
          <w:rFonts w:cs="Constantia"/>
          <w:b/>
          <w:szCs w:val="24"/>
        </w:rPr>
        <w:t>/</w:t>
      </w:r>
      <w:proofErr w:type="spellStart"/>
      <w:r w:rsidR="00880CFE" w:rsidRPr="003D684C">
        <w:rPr>
          <w:rFonts w:cs="Constantia"/>
          <w:b/>
          <w:szCs w:val="24"/>
        </w:rPr>
        <w:t>SZ</w:t>
      </w:r>
      <w:proofErr w:type="spellEnd"/>
      <w:r w:rsidR="00880CFE" w:rsidRPr="003D684C">
        <w:rPr>
          <w:rFonts w:cs="Constantia"/>
          <w:b/>
          <w:szCs w:val="24"/>
        </w:rPr>
        <w:t>-10-7,5-5000 jelű közlekedési övezet telkein újraépíthetők a közlekedéshez kapcsolódó üzemanyagtöltő állomás és városi buszvégállomás épületei é</w:t>
      </w:r>
      <w:r w:rsidR="00227DF2" w:rsidRPr="003D684C">
        <w:rPr>
          <w:rFonts w:cs="Constantia"/>
          <w:b/>
          <w:szCs w:val="24"/>
        </w:rPr>
        <w:t>pítményei.</w:t>
      </w:r>
      <w:r w:rsidRPr="003D684C">
        <w:rPr>
          <w:rFonts w:cs="Constantia"/>
          <w:b/>
          <w:szCs w:val="24"/>
        </w:rPr>
        <w:t>”</w:t>
      </w:r>
    </w:p>
    <w:p w:rsidR="006F2780" w:rsidRPr="003D684C" w:rsidRDefault="006F2780" w:rsidP="00CA7BE2">
      <w:pPr>
        <w:widowControl w:val="0"/>
        <w:autoSpaceDE w:val="0"/>
        <w:autoSpaceDN w:val="0"/>
        <w:adjustRightInd w:val="0"/>
        <w:jc w:val="center"/>
        <w:rPr>
          <w:rFonts w:cs="Constantia"/>
          <w:b/>
          <w:bCs/>
          <w:szCs w:val="24"/>
        </w:rPr>
      </w:pPr>
    </w:p>
    <w:p w:rsidR="00CA7BE2" w:rsidRDefault="00CA7BE2" w:rsidP="00CA7BE2">
      <w:pPr>
        <w:widowControl w:val="0"/>
        <w:autoSpaceDE w:val="0"/>
        <w:autoSpaceDN w:val="0"/>
        <w:adjustRightInd w:val="0"/>
        <w:jc w:val="center"/>
        <w:rPr>
          <w:rFonts w:cs="Constantia"/>
          <w:b/>
          <w:bCs/>
          <w:szCs w:val="24"/>
        </w:rPr>
      </w:pPr>
      <w:r w:rsidRPr="003D684C">
        <w:rPr>
          <w:rFonts w:cs="Constantia"/>
          <w:b/>
          <w:bCs/>
          <w:szCs w:val="24"/>
        </w:rPr>
        <w:t>Záró rendelkezések</w:t>
      </w:r>
    </w:p>
    <w:p w:rsidR="00885F0F" w:rsidRPr="003D684C" w:rsidRDefault="00885F0F" w:rsidP="00CA7BE2">
      <w:pPr>
        <w:widowControl w:val="0"/>
        <w:autoSpaceDE w:val="0"/>
        <w:autoSpaceDN w:val="0"/>
        <w:adjustRightInd w:val="0"/>
        <w:jc w:val="center"/>
        <w:rPr>
          <w:rFonts w:cs="Constantia"/>
          <w:b/>
          <w:bCs/>
          <w:szCs w:val="24"/>
        </w:rPr>
      </w:pPr>
    </w:p>
    <w:p w:rsidR="00CA7BE2" w:rsidRPr="003D684C" w:rsidRDefault="00CA7BE2" w:rsidP="00450CB3">
      <w:pPr>
        <w:numPr>
          <w:ilvl w:val="0"/>
          <w:numId w:val="1"/>
        </w:numPr>
        <w:spacing w:after="120"/>
        <w:ind w:hanging="170"/>
        <w:jc w:val="center"/>
        <w:rPr>
          <w:b/>
          <w:szCs w:val="24"/>
        </w:rPr>
      </w:pPr>
      <w:r w:rsidRPr="003D684C">
        <w:rPr>
          <w:b/>
          <w:szCs w:val="24"/>
        </w:rPr>
        <w:t>§</w:t>
      </w:r>
    </w:p>
    <w:p w:rsidR="00CA7BE2" w:rsidRPr="003D684C" w:rsidRDefault="00F02831" w:rsidP="00CA7BE2">
      <w:pPr>
        <w:widowControl w:val="0"/>
        <w:numPr>
          <w:ilvl w:val="0"/>
          <w:numId w:val="10"/>
        </w:numPr>
        <w:tabs>
          <w:tab w:val="clear" w:pos="284"/>
          <w:tab w:val="left" w:pos="426"/>
        </w:tabs>
        <w:autoSpaceDE w:val="0"/>
        <w:autoSpaceDN w:val="0"/>
        <w:adjustRightInd w:val="0"/>
        <w:ind w:left="426" w:hanging="426"/>
        <w:rPr>
          <w:rFonts w:cs="Constantia"/>
          <w:szCs w:val="24"/>
        </w:rPr>
      </w:pPr>
      <w:r>
        <w:rPr>
          <w:rFonts w:cs="Constantia"/>
          <w:szCs w:val="24"/>
        </w:rPr>
        <w:t>J</w:t>
      </w:r>
      <w:r w:rsidR="00CA7BE2" w:rsidRPr="003D684C">
        <w:rPr>
          <w:rFonts w:cs="Constantia"/>
          <w:szCs w:val="24"/>
        </w:rPr>
        <w:t>elen rendelet</w:t>
      </w:r>
      <w:r>
        <w:rPr>
          <w:rFonts w:cs="Constantia"/>
          <w:szCs w:val="24"/>
        </w:rPr>
        <w:t>-módosítás</w:t>
      </w:r>
      <w:r w:rsidR="00CA7BE2" w:rsidRPr="003D684C">
        <w:rPr>
          <w:rFonts w:cs="Constantia"/>
          <w:szCs w:val="24"/>
        </w:rPr>
        <w:t xml:space="preserve"> 1. mellékletét képező </w:t>
      </w:r>
      <w:r w:rsidR="006F2780" w:rsidRPr="003D684C">
        <w:rPr>
          <w:rFonts w:cs="Constantia"/>
          <w:szCs w:val="24"/>
        </w:rPr>
        <w:t xml:space="preserve">szabályozási </w:t>
      </w:r>
      <w:r w:rsidR="00CA7BE2" w:rsidRPr="003D684C">
        <w:rPr>
          <w:rFonts w:cs="Constantia"/>
          <w:szCs w:val="24"/>
        </w:rPr>
        <w:t>tervlapon lehatárolt területekre a korábban készült szabályozási rendelkezések hatályukat vesztik</w:t>
      </w:r>
      <w:r w:rsidR="006F2780" w:rsidRPr="003D684C">
        <w:rPr>
          <w:rFonts w:cs="Constantia"/>
          <w:szCs w:val="24"/>
        </w:rPr>
        <w:t xml:space="preserve"> az egységes szerkezetbe illesztéskor</w:t>
      </w:r>
      <w:r w:rsidR="00CA7BE2" w:rsidRPr="003D684C">
        <w:rPr>
          <w:rFonts w:cs="Constantia"/>
          <w:szCs w:val="24"/>
        </w:rPr>
        <w:t xml:space="preserve">. </w:t>
      </w:r>
    </w:p>
    <w:p w:rsidR="00CA7BE2" w:rsidRPr="003D684C" w:rsidRDefault="00F02831" w:rsidP="00CA7BE2">
      <w:pPr>
        <w:widowControl w:val="0"/>
        <w:numPr>
          <w:ilvl w:val="0"/>
          <w:numId w:val="10"/>
        </w:numPr>
        <w:tabs>
          <w:tab w:val="clear" w:pos="284"/>
          <w:tab w:val="left" w:pos="426"/>
        </w:tabs>
        <w:autoSpaceDE w:val="0"/>
        <w:autoSpaceDN w:val="0"/>
        <w:adjustRightInd w:val="0"/>
        <w:ind w:left="426" w:hanging="426"/>
        <w:rPr>
          <w:rFonts w:cs="Constantia"/>
          <w:szCs w:val="24"/>
        </w:rPr>
      </w:pPr>
      <w:r>
        <w:rPr>
          <w:rFonts w:cs="Constantia"/>
          <w:szCs w:val="24"/>
        </w:rPr>
        <w:t>J</w:t>
      </w:r>
      <w:r w:rsidR="00CA7BE2" w:rsidRPr="003D684C">
        <w:rPr>
          <w:rFonts w:cs="Constantia"/>
          <w:szCs w:val="24"/>
        </w:rPr>
        <w:t>elen rendelet-módosítás a kihirdetését követő 15. napon lép hatályba, és az azt követő napon hatályát veszti.</w:t>
      </w:r>
    </w:p>
    <w:p w:rsidR="00CC41F5" w:rsidRPr="003D684C" w:rsidRDefault="00CC41F5" w:rsidP="00510540">
      <w:pPr>
        <w:rPr>
          <w:dstrike/>
          <w:szCs w:val="24"/>
          <w:highlight w:val="yellow"/>
        </w:rPr>
      </w:pPr>
    </w:p>
    <w:p w:rsidR="00554A6E" w:rsidRPr="003D684C" w:rsidRDefault="00554A6E" w:rsidP="00510540">
      <w:pPr>
        <w:rPr>
          <w:dstrike/>
          <w:szCs w:val="24"/>
          <w:highlight w:val="yellow"/>
        </w:rPr>
      </w:pPr>
    </w:p>
    <w:p w:rsidR="00CA7BE2" w:rsidRPr="003D684C" w:rsidRDefault="00CA7BE2" w:rsidP="00510540">
      <w:pPr>
        <w:rPr>
          <w:dstrike/>
          <w:szCs w:val="24"/>
          <w:highlight w:val="yellow"/>
        </w:rPr>
      </w:pPr>
    </w:p>
    <w:p w:rsidR="00CA7BE2" w:rsidRPr="003D684C" w:rsidRDefault="00CA7BE2" w:rsidP="00510540">
      <w:pPr>
        <w:rPr>
          <w:dstrike/>
          <w:szCs w:val="24"/>
          <w:highlight w:val="yellow"/>
        </w:rPr>
      </w:pPr>
    </w:p>
    <w:p w:rsidR="00CA7BE2" w:rsidRPr="003D684C" w:rsidRDefault="00CA7BE2" w:rsidP="00510540">
      <w:pPr>
        <w:rPr>
          <w:dstrike/>
          <w:szCs w:val="24"/>
          <w:highlight w:val="yellow"/>
        </w:rPr>
      </w:pPr>
    </w:p>
    <w:p w:rsidR="00212030" w:rsidRPr="003D684C" w:rsidRDefault="00212030" w:rsidP="00510540">
      <w:pPr>
        <w:tabs>
          <w:tab w:val="center" w:pos="2340"/>
          <w:tab w:val="center" w:pos="7020"/>
        </w:tabs>
        <w:rPr>
          <w:b/>
          <w:smallCaps/>
          <w:szCs w:val="24"/>
        </w:rPr>
      </w:pPr>
      <w:r w:rsidRPr="003D684C">
        <w:rPr>
          <w:b/>
          <w:smallCaps/>
          <w:szCs w:val="24"/>
        </w:rPr>
        <w:tab/>
      </w:r>
      <w:r w:rsidR="00B855E5" w:rsidRPr="003D684C">
        <w:rPr>
          <w:b/>
          <w:smallCaps/>
          <w:szCs w:val="24"/>
        </w:rPr>
        <w:t>Mirkóczki Ádám</w:t>
      </w:r>
      <w:r w:rsidR="00B855E5" w:rsidRPr="003D684C">
        <w:rPr>
          <w:b/>
          <w:smallCaps/>
          <w:szCs w:val="24"/>
        </w:rPr>
        <w:tab/>
      </w:r>
      <w:r w:rsidR="006F2780" w:rsidRPr="003D684C">
        <w:rPr>
          <w:b/>
          <w:smallCaps/>
          <w:szCs w:val="24"/>
        </w:rPr>
        <w:t>Dr. Bánhidy Péter</w:t>
      </w:r>
    </w:p>
    <w:p w:rsidR="00212030" w:rsidRPr="003D684C" w:rsidRDefault="00212030" w:rsidP="00510540">
      <w:pPr>
        <w:tabs>
          <w:tab w:val="center" w:pos="2340"/>
          <w:tab w:val="center" w:pos="7020"/>
        </w:tabs>
        <w:rPr>
          <w:szCs w:val="24"/>
        </w:rPr>
      </w:pPr>
      <w:r w:rsidRPr="003D684C">
        <w:rPr>
          <w:szCs w:val="24"/>
        </w:rPr>
        <w:tab/>
        <w:t>Polgármester</w:t>
      </w:r>
      <w:r w:rsidRPr="003D684C">
        <w:rPr>
          <w:szCs w:val="24"/>
        </w:rPr>
        <w:tab/>
        <w:t>Jegyző</w:t>
      </w:r>
    </w:p>
    <w:sectPr w:rsidR="00212030" w:rsidRPr="003D684C" w:rsidSect="00D23F8E">
      <w:footerReference w:type="default" r:id="rId7"/>
      <w:headerReference w:type="first" r:id="rId8"/>
      <w:pgSz w:w="11906" w:h="16838"/>
      <w:pgMar w:top="1021" w:right="1304" w:bottom="1021" w:left="1304" w:header="709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32E" w:rsidRDefault="005C032E">
      <w:r>
        <w:separator/>
      </w:r>
    </w:p>
  </w:endnote>
  <w:endnote w:type="continuationSeparator" w:id="0">
    <w:p w:rsidR="005C032E" w:rsidRDefault="005C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60B" w:rsidRPr="001079F2" w:rsidRDefault="00BB060B" w:rsidP="001732D9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</w:p>
  <w:p w:rsidR="00BB060B" w:rsidRPr="001732D9" w:rsidRDefault="00576388" w:rsidP="001732D9">
    <w:pPr>
      <w:pStyle w:val="llb"/>
      <w:pBdr>
        <w:top w:val="single" w:sz="4" w:space="1" w:color="auto"/>
      </w:pBdr>
      <w:jc w:val="center"/>
      <w:rPr>
        <w:szCs w:val="24"/>
      </w:rPr>
    </w:pPr>
    <w:r w:rsidRPr="001732D9">
      <w:rPr>
        <w:rStyle w:val="Oldalszm"/>
        <w:szCs w:val="24"/>
      </w:rPr>
      <w:fldChar w:fldCharType="begin"/>
    </w:r>
    <w:r w:rsidR="00BB060B" w:rsidRPr="001732D9">
      <w:rPr>
        <w:rStyle w:val="Oldalszm"/>
        <w:szCs w:val="24"/>
      </w:rPr>
      <w:instrText xml:space="preserve"> PAGE </w:instrText>
    </w:r>
    <w:r w:rsidRPr="001732D9">
      <w:rPr>
        <w:rStyle w:val="Oldalszm"/>
        <w:szCs w:val="24"/>
      </w:rPr>
      <w:fldChar w:fldCharType="separate"/>
    </w:r>
    <w:r w:rsidR="004E074E">
      <w:rPr>
        <w:rStyle w:val="Oldalszm"/>
        <w:noProof/>
        <w:szCs w:val="24"/>
      </w:rPr>
      <w:t>2</w:t>
    </w:r>
    <w:r w:rsidRPr="001732D9">
      <w:rPr>
        <w:rStyle w:val="Oldalszm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32E" w:rsidRDefault="005C032E">
      <w:r>
        <w:separator/>
      </w:r>
    </w:p>
  </w:footnote>
  <w:footnote w:type="continuationSeparator" w:id="0">
    <w:p w:rsidR="005C032E" w:rsidRDefault="005C0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5E6" w:rsidRDefault="007625E6" w:rsidP="007625E6">
    <w:pPr>
      <w:pStyle w:val="lfej"/>
      <w:jc w:val="right"/>
    </w:pPr>
    <w:r>
      <w:t>2.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D280C"/>
    <w:multiLevelType w:val="hybridMultilevel"/>
    <w:tmpl w:val="29B2F06C"/>
    <w:lvl w:ilvl="0" w:tplc="FAF656BE">
      <w:start w:val="2"/>
      <w:numFmt w:val="decimal"/>
      <w:lvlText w:val="(%1)"/>
      <w:lvlJc w:val="left"/>
      <w:pPr>
        <w:tabs>
          <w:tab w:val="num" w:pos="170"/>
        </w:tabs>
        <w:ind w:left="454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D01FD"/>
    <w:multiLevelType w:val="hybridMultilevel"/>
    <w:tmpl w:val="D270B36A"/>
    <w:lvl w:ilvl="0" w:tplc="63FE91D8">
      <w:start w:val="1"/>
      <w:numFmt w:val="decimal"/>
      <w:lvlText w:val="(%1)"/>
      <w:lvlJc w:val="left"/>
      <w:pPr>
        <w:tabs>
          <w:tab w:val="num" w:pos="6947"/>
        </w:tabs>
        <w:ind w:left="7231" w:hanging="284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647DD8"/>
    <w:multiLevelType w:val="hybridMultilevel"/>
    <w:tmpl w:val="5330CCBA"/>
    <w:lvl w:ilvl="0" w:tplc="310A9D28">
      <w:start w:val="1"/>
      <w:numFmt w:val="decimal"/>
      <w:lvlText w:val="(%1)"/>
      <w:lvlJc w:val="left"/>
      <w:pPr>
        <w:tabs>
          <w:tab w:val="num" w:pos="284"/>
        </w:tabs>
        <w:ind w:left="284" w:hanging="284"/>
      </w:pPr>
      <w:rPr>
        <w:rFonts w:ascii="Constantia" w:hAnsi="Constantia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1CA3DC4"/>
    <w:multiLevelType w:val="multilevel"/>
    <w:tmpl w:val="0A4EA782"/>
    <w:lvl w:ilvl="0">
      <w:start w:val="1"/>
      <w:numFmt w:val="decimal"/>
      <w:lvlText w:val="(%1)"/>
      <w:lvlJc w:val="left"/>
      <w:pPr>
        <w:tabs>
          <w:tab w:val="num" w:pos="357"/>
        </w:tabs>
        <w:ind w:left="1021" w:hanging="1021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2">
      <w:start w:val="27"/>
      <w:numFmt w:val="lowerLetter"/>
      <w:lvlText w:val="%3)"/>
      <w:lvlJc w:val="left"/>
      <w:pPr>
        <w:tabs>
          <w:tab w:val="num" w:pos="1418"/>
        </w:tabs>
        <w:ind w:left="2041" w:hanging="1321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DE706F9"/>
    <w:multiLevelType w:val="hybridMultilevel"/>
    <w:tmpl w:val="466852A8"/>
    <w:lvl w:ilvl="0" w:tplc="310A9D28">
      <w:start w:val="1"/>
      <w:numFmt w:val="decimal"/>
      <w:lvlText w:val="(%1)"/>
      <w:lvlJc w:val="left"/>
      <w:pPr>
        <w:tabs>
          <w:tab w:val="num" w:pos="284"/>
        </w:tabs>
        <w:ind w:left="284" w:hanging="284"/>
      </w:pPr>
      <w:rPr>
        <w:rFonts w:ascii="Constantia" w:hAnsi="Constantia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F970843"/>
    <w:multiLevelType w:val="hybridMultilevel"/>
    <w:tmpl w:val="4AF06CCC"/>
    <w:lvl w:ilvl="0" w:tplc="A7748B26">
      <w:start w:val="7"/>
      <w:numFmt w:val="decimal"/>
      <w:lvlText w:val="%1."/>
      <w:lvlJc w:val="left"/>
      <w:pPr>
        <w:tabs>
          <w:tab w:val="num" w:pos="284"/>
        </w:tabs>
        <w:ind w:left="1418" w:hanging="1418"/>
      </w:pPr>
      <w:rPr>
        <w:rFonts w:ascii="Constantia" w:hAnsi="Constantia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760C8"/>
    <w:multiLevelType w:val="hybridMultilevel"/>
    <w:tmpl w:val="42866CF8"/>
    <w:lvl w:ilvl="0" w:tplc="F1C21FB6">
      <w:start w:val="1"/>
      <w:numFmt w:val="decimal"/>
      <w:suff w:val="space"/>
      <w:lvlText w:val="%1."/>
      <w:lvlJc w:val="left"/>
      <w:pPr>
        <w:ind w:left="170" w:firstLine="0"/>
      </w:pPr>
      <w:rPr>
        <w:rFonts w:ascii="Constantia" w:hAnsi="Constantia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E910C64C">
      <w:start w:val="1"/>
      <w:numFmt w:val="decimal"/>
      <w:lvlText w:val="(%2)"/>
      <w:lvlJc w:val="left"/>
      <w:pPr>
        <w:ind w:left="1500" w:hanging="4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403A52"/>
    <w:multiLevelType w:val="multilevel"/>
    <w:tmpl w:val="6950922A"/>
    <w:lvl w:ilvl="0">
      <w:start w:val="1"/>
      <w:numFmt w:val="decimal"/>
      <w:lvlText w:val="(%1)"/>
      <w:lvlJc w:val="left"/>
      <w:pPr>
        <w:tabs>
          <w:tab w:val="num" w:pos="357"/>
        </w:tabs>
        <w:ind w:left="1021" w:hanging="1021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2">
      <w:start w:val="27"/>
      <w:numFmt w:val="lowerLetter"/>
      <w:lvlText w:val="%3)"/>
      <w:lvlJc w:val="left"/>
      <w:pPr>
        <w:tabs>
          <w:tab w:val="num" w:pos="1418"/>
        </w:tabs>
        <w:ind w:left="2041" w:hanging="1321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6644787B"/>
    <w:multiLevelType w:val="hybridMultilevel"/>
    <w:tmpl w:val="8EEC88AC"/>
    <w:lvl w:ilvl="0" w:tplc="2F7C1A2A">
      <w:start w:val="1"/>
      <w:numFmt w:val="decimal"/>
      <w:lvlText w:val="%1."/>
      <w:lvlJc w:val="left"/>
      <w:pPr>
        <w:tabs>
          <w:tab w:val="num" w:pos="284"/>
        </w:tabs>
        <w:ind w:left="1418" w:hanging="1418"/>
      </w:pPr>
      <w:rPr>
        <w:rFonts w:ascii="Constantia" w:hAnsi="Constantia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ED810CB"/>
    <w:multiLevelType w:val="hybridMultilevel"/>
    <w:tmpl w:val="D7685492"/>
    <w:lvl w:ilvl="0" w:tplc="0B7C0E16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FFDE87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3F0FE5"/>
    <w:multiLevelType w:val="hybridMultilevel"/>
    <w:tmpl w:val="DC124A3E"/>
    <w:lvl w:ilvl="0" w:tplc="952E69B6">
      <w:start w:val="2"/>
      <w:numFmt w:val="decimal"/>
      <w:lvlText w:val="(%1)"/>
      <w:lvlJc w:val="left"/>
      <w:pPr>
        <w:tabs>
          <w:tab w:val="num" w:pos="284"/>
        </w:tabs>
        <w:ind w:left="284" w:hanging="284"/>
      </w:pPr>
      <w:rPr>
        <w:rFonts w:ascii="Constantia" w:hAnsi="Constantia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D96DAD"/>
    <w:multiLevelType w:val="hybridMultilevel"/>
    <w:tmpl w:val="8EEC8D2E"/>
    <w:lvl w:ilvl="0" w:tplc="310A9D28">
      <w:start w:val="1"/>
      <w:numFmt w:val="decimal"/>
      <w:lvlText w:val="(%1)"/>
      <w:lvlJc w:val="left"/>
      <w:pPr>
        <w:tabs>
          <w:tab w:val="num" w:pos="284"/>
        </w:tabs>
        <w:ind w:left="284" w:hanging="284"/>
      </w:pPr>
      <w:rPr>
        <w:rFonts w:ascii="Constantia" w:hAnsi="Constantia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1"/>
  </w:num>
  <w:num w:numId="11">
    <w:abstractNumId w:val="10"/>
  </w:num>
  <w:num w:numId="1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2E5"/>
    <w:rsid w:val="00002468"/>
    <w:rsid w:val="0001056B"/>
    <w:rsid w:val="000448C9"/>
    <w:rsid w:val="00051168"/>
    <w:rsid w:val="0005446A"/>
    <w:rsid w:val="000570E7"/>
    <w:rsid w:val="00074F55"/>
    <w:rsid w:val="000903EF"/>
    <w:rsid w:val="000904B0"/>
    <w:rsid w:val="000973F5"/>
    <w:rsid w:val="000A5869"/>
    <w:rsid w:val="000B1C21"/>
    <w:rsid w:val="000C6013"/>
    <w:rsid w:val="000D14C2"/>
    <w:rsid w:val="000F7CDF"/>
    <w:rsid w:val="001079F2"/>
    <w:rsid w:val="00117324"/>
    <w:rsid w:val="00133086"/>
    <w:rsid w:val="00141FB3"/>
    <w:rsid w:val="00142A47"/>
    <w:rsid w:val="00151133"/>
    <w:rsid w:val="00163F8D"/>
    <w:rsid w:val="001732D9"/>
    <w:rsid w:val="00176AF3"/>
    <w:rsid w:val="0018376C"/>
    <w:rsid w:val="001A2801"/>
    <w:rsid w:val="001C791C"/>
    <w:rsid w:val="001E1D63"/>
    <w:rsid w:val="001E2F5B"/>
    <w:rsid w:val="001F136F"/>
    <w:rsid w:val="00200D4C"/>
    <w:rsid w:val="00205344"/>
    <w:rsid w:val="00212030"/>
    <w:rsid w:val="00214939"/>
    <w:rsid w:val="00215BE6"/>
    <w:rsid w:val="00225D96"/>
    <w:rsid w:val="00226241"/>
    <w:rsid w:val="00226B5C"/>
    <w:rsid w:val="00227DF2"/>
    <w:rsid w:val="00235B76"/>
    <w:rsid w:val="002433F3"/>
    <w:rsid w:val="00270A1B"/>
    <w:rsid w:val="00287A57"/>
    <w:rsid w:val="00296B0D"/>
    <w:rsid w:val="002C3065"/>
    <w:rsid w:val="002C4D6A"/>
    <w:rsid w:val="0030157C"/>
    <w:rsid w:val="00301D3A"/>
    <w:rsid w:val="00301F1E"/>
    <w:rsid w:val="003319FE"/>
    <w:rsid w:val="00333BDC"/>
    <w:rsid w:val="00340633"/>
    <w:rsid w:val="003436D2"/>
    <w:rsid w:val="00344DC9"/>
    <w:rsid w:val="00360C24"/>
    <w:rsid w:val="00376DE1"/>
    <w:rsid w:val="00376DFA"/>
    <w:rsid w:val="00380D4F"/>
    <w:rsid w:val="003913DA"/>
    <w:rsid w:val="003B098A"/>
    <w:rsid w:val="003B357C"/>
    <w:rsid w:val="003B3DAF"/>
    <w:rsid w:val="003C5E70"/>
    <w:rsid w:val="003D1973"/>
    <w:rsid w:val="003D684C"/>
    <w:rsid w:val="003F160F"/>
    <w:rsid w:val="003F302F"/>
    <w:rsid w:val="0040030F"/>
    <w:rsid w:val="00410763"/>
    <w:rsid w:val="00412249"/>
    <w:rsid w:val="00416183"/>
    <w:rsid w:val="00446441"/>
    <w:rsid w:val="004504CE"/>
    <w:rsid w:val="00450CB3"/>
    <w:rsid w:val="00452FBA"/>
    <w:rsid w:val="00490FF1"/>
    <w:rsid w:val="00492070"/>
    <w:rsid w:val="00495698"/>
    <w:rsid w:val="004A3ECD"/>
    <w:rsid w:val="004C5BFB"/>
    <w:rsid w:val="004D7432"/>
    <w:rsid w:val="004E074E"/>
    <w:rsid w:val="004E6E64"/>
    <w:rsid w:val="004F3DFD"/>
    <w:rsid w:val="00510540"/>
    <w:rsid w:val="00513D6E"/>
    <w:rsid w:val="00520A66"/>
    <w:rsid w:val="00523C1F"/>
    <w:rsid w:val="005472FB"/>
    <w:rsid w:val="00554A6E"/>
    <w:rsid w:val="005573A8"/>
    <w:rsid w:val="00576388"/>
    <w:rsid w:val="00595557"/>
    <w:rsid w:val="005A0091"/>
    <w:rsid w:val="005A2173"/>
    <w:rsid w:val="005B1493"/>
    <w:rsid w:val="005C032E"/>
    <w:rsid w:val="005E3021"/>
    <w:rsid w:val="006010C9"/>
    <w:rsid w:val="00611A6B"/>
    <w:rsid w:val="00623CDA"/>
    <w:rsid w:val="00636F18"/>
    <w:rsid w:val="00644A2D"/>
    <w:rsid w:val="0065267E"/>
    <w:rsid w:val="00674BAB"/>
    <w:rsid w:val="0068587B"/>
    <w:rsid w:val="006A0F5F"/>
    <w:rsid w:val="006A34FB"/>
    <w:rsid w:val="006A690E"/>
    <w:rsid w:val="006B1D05"/>
    <w:rsid w:val="006B64CE"/>
    <w:rsid w:val="006C304B"/>
    <w:rsid w:val="006E2452"/>
    <w:rsid w:val="006F0166"/>
    <w:rsid w:val="006F258C"/>
    <w:rsid w:val="006F2780"/>
    <w:rsid w:val="007040D6"/>
    <w:rsid w:val="00714206"/>
    <w:rsid w:val="00724E26"/>
    <w:rsid w:val="00726B66"/>
    <w:rsid w:val="0073171D"/>
    <w:rsid w:val="00737B86"/>
    <w:rsid w:val="0074184E"/>
    <w:rsid w:val="00745C10"/>
    <w:rsid w:val="00752A7C"/>
    <w:rsid w:val="00752B8B"/>
    <w:rsid w:val="00756486"/>
    <w:rsid w:val="007625E6"/>
    <w:rsid w:val="00762876"/>
    <w:rsid w:val="00764C66"/>
    <w:rsid w:val="007935DD"/>
    <w:rsid w:val="00796BB3"/>
    <w:rsid w:val="00797D4F"/>
    <w:rsid w:val="007A15A9"/>
    <w:rsid w:val="007C4579"/>
    <w:rsid w:val="007D2119"/>
    <w:rsid w:val="007D5B48"/>
    <w:rsid w:val="007F3781"/>
    <w:rsid w:val="00800986"/>
    <w:rsid w:val="00814685"/>
    <w:rsid w:val="00815522"/>
    <w:rsid w:val="008200E7"/>
    <w:rsid w:val="008209BB"/>
    <w:rsid w:val="00832D3F"/>
    <w:rsid w:val="008460BD"/>
    <w:rsid w:val="00852593"/>
    <w:rsid w:val="00864517"/>
    <w:rsid w:val="00866191"/>
    <w:rsid w:val="00880CFE"/>
    <w:rsid w:val="00885F0F"/>
    <w:rsid w:val="0089240A"/>
    <w:rsid w:val="00893F38"/>
    <w:rsid w:val="00895B19"/>
    <w:rsid w:val="008A18CA"/>
    <w:rsid w:val="008A3E6D"/>
    <w:rsid w:val="008A5A64"/>
    <w:rsid w:val="008A62C5"/>
    <w:rsid w:val="008C1F1B"/>
    <w:rsid w:val="008C55E2"/>
    <w:rsid w:val="008D1F84"/>
    <w:rsid w:val="008D4420"/>
    <w:rsid w:val="008F166E"/>
    <w:rsid w:val="00903D38"/>
    <w:rsid w:val="00905916"/>
    <w:rsid w:val="00907D64"/>
    <w:rsid w:val="009316DC"/>
    <w:rsid w:val="00935666"/>
    <w:rsid w:val="009373C6"/>
    <w:rsid w:val="0094203D"/>
    <w:rsid w:val="00943C53"/>
    <w:rsid w:val="00963554"/>
    <w:rsid w:val="00972FA7"/>
    <w:rsid w:val="00976710"/>
    <w:rsid w:val="009821E5"/>
    <w:rsid w:val="009866B4"/>
    <w:rsid w:val="00990AEB"/>
    <w:rsid w:val="009930E0"/>
    <w:rsid w:val="009A44AF"/>
    <w:rsid w:val="009C1BE5"/>
    <w:rsid w:val="009D2956"/>
    <w:rsid w:val="009D683F"/>
    <w:rsid w:val="009E183D"/>
    <w:rsid w:val="009F654B"/>
    <w:rsid w:val="009F6861"/>
    <w:rsid w:val="00A13B09"/>
    <w:rsid w:val="00A46913"/>
    <w:rsid w:val="00A46B8F"/>
    <w:rsid w:val="00A56B18"/>
    <w:rsid w:val="00A735C6"/>
    <w:rsid w:val="00A738A7"/>
    <w:rsid w:val="00A91D5A"/>
    <w:rsid w:val="00A9635B"/>
    <w:rsid w:val="00AA3CB8"/>
    <w:rsid w:val="00AA42E5"/>
    <w:rsid w:val="00AA4853"/>
    <w:rsid w:val="00AC00EB"/>
    <w:rsid w:val="00AC7C4C"/>
    <w:rsid w:val="00AE04E0"/>
    <w:rsid w:val="00AE2B1A"/>
    <w:rsid w:val="00AF2072"/>
    <w:rsid w:val="00AF5FDE"/>
    <w:rsid w:val="00B14127"/>
    <w:rsid w:val="00B25DB8"/>
    <w:rsid w:val="00B5445E"/>
    <w:rsid w:val="00B842CA"/>
    <w:rsid w:val="00B855E5"/>
    <w:rsid w:val="00BB060B"/>
    <w:rsid w:val="00BB457D"/>
    <w:rsid w:val="00BC4DFE"/>
    <w:rsid w:val="00BF5A24"/>
    <w:rsid w:val="00C15697"/>
    <w:rsid w:val="00C335EB"/>
    <w:rsid w:val="00C42FE8"/>
    <w:rsid w:val="00C4359D"/>
    <w:rsid w:val="00C54E41"/>
    <w:rsid w:val="00C713FB"/>
    <w:rsid w:val="00CA3108"/>
    <w:rsid w:val="00CA7BE2"/>
    <w:rsid w:val="00CB4CD3"/>
    <w:rsid w:val="00CC41F5"/>
    <w:rsid w:val="00CD6866"/>
    <w:rsid w:val="00CD6CC2"/>
    <w:rsid w:val="00CE27C3"/>
    <w:rsid w:val="00CE6579"/>
    <w:rsid w:val="00CF2B8A"/>
    <w:rsid w:val="00CF6299"/>
    <w:rsid w:val="00D12115"/>
    <w:rsid w:val="00D23F8E"/>
    <w:rsid w:val="00D31A63"/>
    <w:rsid w:val="00D32B04"/>
    <w:rsid w:val="00D41C01"/>
    <w:rsid w:val="00D47A47"/>
    <w:rsid w:val="00D5207D"/>
    <w:rsid w:val="00D6144F"/>
    <w:rsid w:val="00D74E35"/>
    <w:rsid w:val="00D76FB3"/>
    <w:rsid w:val="00DB5408"/>
    <w:rsid w:val="00DB734B"/>
    <w:rsid w:val="00DC3237"/>
    <w:rsid w:val="00DC4020"/>
    <w:rsid w:val="00DD234A"/>
    <w:rsid w:val="00DD6BE9"/>
    <w:rsid w:val="00DE0B39"/>
    <w:rsid w:val="00DF0FFC"/>
    <w:rsid w:val="00DF49A4"/>
    <w:rsid w:val="00E06300"/>
    <w:rsid w:val="00E16147"/>
    <w:rsid w:val="00E16E6C"/>
    <w:rsid w:val="00E439B7"/>
    <w:rsid w:val="00E46D8F"/>
    <w:rsid w:val="00E54AD7"/>
    <w:rsid w:val="00E613C9"/>
    <w:rsid w:val="00E638D3"/>
    <w:rsid w:val="00E73D87"/>
    <w:rsid w:val="00E75543"/>
    <w:rsid w:val="00E928DD"/>
    <w:rsid w:val="00E95E9F"/>
    <w:rsid w:val="00EB27D9"/>
    <w:rsid w:val="00EB2D1D"/>
    <w:rsid w:val="00EB50EE"/>
    <w:rsid w:val="00EB77AD"/>
    <w:rsid w:val="00EC797B"/>
    <w:rsid w:val="00ED1687"/>
    <w:rsid w:val="00EE5302"/>
    <w:rsid w:val="00EE5F4E"/>
    <w:rsid w:val="00EF66C2"/>
    <w:rsid w:val="00F02831"/>
    <w:rsid w:val="00F12BC7"/>
    <w:rsid w:val="00F147B9"/>
    <w:rsid w:val="00F2093F"/>
    <w:rsid w:val="00F23CD3"/>
    <w:rsid w:val="00F27FAD"/>
    <w:rsid w:val="00F36601"/>
    <w:rsid w:val="00F679F3"/>
    <w:rsid w:val="00F70399"/>
    <w:rsid w:val="00F845E9"/>
    <w:rsid w:val="00FA1FBD"/>
    <w:rsid w:val="00FB0896"/>
    <w:rsid w:val="00FB2642"/>
    <w:rsid w:val="00FB451F"/>
    <w:rsid w:val="00FB551C"/>
    <w:rsid w:val="00FB6308"/>
    <w:rsid w:val="00FD3580"/>
    <w:rsid w:val="00FD5087"/>
    <w:rsid w:val="00FD75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537C778C"/>
  <w15:docId w15:val="{4998F19D-09A4-45D0-9EC6-CFE81D635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060B"/>
    <w:pPr>
      <w:jc w:val="both"/>
    </w:pPr>
    <w:rPr>
      <w:rFonts w:ascii="Constantia" w:eastAsia="Times New Roman" w:hAnsi="Constantia"/>
      <w:sz w:val="24"/>
    </w:rPr>
  </w:style>
  <w:style w:type="paragraph" w:styleId="Cmsor3">
    <w:name w:val="heading 3"/>
    <w:aliases w:val=" Char Char"/>
    <w:basedOn w:val="Norml"/>
    <w:next w:val="Norml"/>
    <w:link w:val="Cmsor3Char"/>
    <w:qFormat/>
    <w:rsid w:val="00AA42E5"/>
    <w:pPr>
      <w:keepNext/>
      <w:widowControl w:val="0"/>
      <w:spacing w:after="360" w:line="-360" w:lineRule="auto"/>
      <w:jc w:val="center"/>
      <w:outlineLvl w:val="2"/>
    </w:pPr>
    <w:rPr>
      <w:b/>
    </w:rPr>
  </w:style>
  <w:style w:type="paragraph" w:styleId="Cmsor4">
    <w:name w:val="heading 4"/>
    <w:basedOn w:val="Norml"/>
    <w:next w:val="Norml"/>
    <w:qFormat/>
    <w:rsid w:val="009F68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aliases w:val=" Char Char Char"/>
    <w:link w:val="Cmsor3"/>
    <w:rsid w:val="00AA42E5"/>
    <w:rPr>
      <w:b/>
      <w:sz w:val="24"/>
      <w:lang w:val="hu-HU" w:eastAsia="hu-HU"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l"/>
    <w:rsid w:val="0021203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behzssal">
    <w:name w:val="Body Text Indent"/>
    <w:basedOn w:val="Norml"/>
    <w:rsid w:val="00F36601"/>
    <w:pPr>
      <w:tabs>
        <w:tab w:val="left" w:pos="3720"/>
      </w:tabs>
      <w:ind w:firstLine="720"/>
    </w:pPr>
  </w:style>
  <w:style w:type="character" w:customStyle="1" w:styleId="LbjegyzetszvegChar">
    <w:name w:val="Lábjegyzetszöveg Char"/>
    <w:aliases w:val=" Char Char1"/>
    <w:link w:val="Lbjegyzetszveg"/>
    <w:rsid w:val="003F302F"/>
    <w:rPr>
      <w:b/>
      <w:sz w:val="24"/>
    </w:rPr>
  </w:style>
  <w:style w:type="character" w:styleId="Lbjegyzet-hivatkozs">
    <w:name w:val="footnote reference"/>
    <w:semiHidden/>
    <w:rsid w:val="009930E0"/>
    <w:rPr>
      <w:vertAlign w:val="superscript"/>
    </w:rPr>
  </w:style>
  <w:style w:type="paragraph" w:styleId="Lbjegyzetszveg">
    <w:name w:val="footnote text"/>
    <w:aliases w:val=" Char"/>
    <w:basedOn w:val="Norml"/>
    <w:link w:val="LbjegyzetszvegChar"/>
    <w:semiHidden/>
    <w:rsid w:val="009930E0"/>
    <w:rPr>
      <w:b/>
    </w:rPr>
  </w:style>
  <w:style w:type="paragraph" w:customStyle="1" w:styleId="Nincstrkz1">
    <w:name w:val="Nincs térköz1"/>
    <w:uiPriority w:val="1"/>
    <w:qFormat/>
    <w:rsid w:val="00EE5302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styleId="lfej">
    <w:name w:val="header"/>
    <w:basedOn w:val="Norml"/>
    <w:rsid w:val="00752A7C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752A7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52A7C"/>
  </w:style>
  <w:style w:type="paragraph" w:customStyle="1" w:styleId="CharCharCharCharCharCharCharCharCharCharCharCharCharChar">
    <w:name w:val="Char Char Char Char Char Char Char Char Char Char Char Char Char Char"/>
    <w:basedOn w:val="Norml"/>
    <w:rsid w:val="004C5BF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CharCharCharChar0">
    <w:name w:val="Char Char Char Char Char Char Char Char Char Char Char Char Char Char"/>
    <w:basedOn w:val="Norml"/>
    <w:rsid w:val="0030157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Nincstrkz2">
    <w:name w:val="Nincs térköz2"/>
    <w:aliases w:val="térköz"/>
    <w:uiPriority w:val="1"/>
    <w:qFormat/>
    <w:rsid w:val="00CA3108"/>
    <w:pPr>
      <w:spacing w:after="120"/>
      <w:jc w:val="both"/>
    </w:pPr>
    <w:rPr>
      <w:rFonts w:ascii="Constantia" w:eastAsia="Times New Roman" w:hAnsi="Constantia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4184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74184E"/>
    <w:rPr>
      <w:rFonts w:ascii="Segoe UI" w:eastAsia="Times New Roman" w:hAnsi="Segoe UI" w:cs="Segoe UI"/>
      <w:sz w:val="18"/>
      <w:szCs w:val="18"/>
    </w:rPr>
  </w:style>
  <w:style w:type="paragraph" w:customStyle="1" w:styleId="Listaszerbekezds1">
    <w:name w:val="Listaszerű bekezdés1"/>
    <w:aliases w:val="List Paragraph à moi"/>
    <w:basedOn w:val="Norml"/>
    <w:link w:val="ListaszerbekezdsChar"/>
    <w:qFormat/>
    <w:rsid w:val="009A44AF"/>
    <w:pPr>
      <w:ind w:left="720"/>
      <w:contextualSpacing/>
      <w:jc w:val="left"/>
    </w:pPr>
    <w:rPr>
      <w:rFonts w:eastAsia="Calibri"/>
      <w:szCs w:val="22"/>
      <w:lang w:eastAsia="en-US"/>
    </w:rPr>
  </w:style>
  <w:style w:type="character" w:customStyle="1" w:styleId="ListaszerbekezdsChar">
    <w:name w:val="Listaszerű bekezdés Char"/>
    <w:aliases w:val="List Paragraph à moi Char"/>
    <w:link w:val="Listaszerbekezds1"/>
    <w:locked/>
    <w:rsid w:val="009A44AF"/>
    <w:rPr>
      <w:rFonts w:ascii="Constantia" w:eastAsia="Calibri" w:hAnsi="Constantia"/>
      <w:sz w:val="24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3D6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Eger Megyei Jogú Város Önkormányzata Közgyűlésének rendelettervezete</vt:lpstr>
    </vt:vector>
  </TitlesOfParts>
  <Company>WB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Eger Megyei Jogú Város Önkormányzata Közgyűlésének rendelettervezete</dc:title>
  <dc:creator>Wolf Bea</dc:creator>
  <cp:lastModifiedBy>Szajlai Olimpia</cp:lastModifiedBy>
  <cp:revision>7</cp:revision>
  <cp:lastPrinted>2020-01-14T14:29:00Z</cp:lastPrinted>
  <dcterms:created xsi:type="dcterms:W3CDTF">2021-11-18T10:11:00Z</dcterms:created>
  <dcterms:modified xsi:type="dcterms:W3CDTF">2022-01-31T09:32:00Z</dcterms:modified>
</cp:coreProperties>
</file>